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3053" w14:textId="68BA4617" w:rsidR="00015450" w:rsidRPr="002551A1"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r w:rsidRPr="002551A1">
        <w:rPr>
          <w:rFonts w:ascii="Times New Roman" w:eastAsiaTheme="minorHAnsi" w:hAnsi="Times New Roman"/>
          <w:b/>
          <w:bCs/>
          <w:i/>
          <w:iCs/>
          <w:caps/>
          <w:color w:val="000000"/>
          <w:lang w:val="en-US"/>
        </w:rPr>
        <w:t xml:space="preserve">Mësimi 3: </w:t>
      </w:r>
      <w:r w:rsidR="00193E73">
        <w:rPr>
          <w:rFonts w:ascii="Times New Roman" w:eastAsiaTheme="minorHAnsi" w:hAnsi="Times New Roman"/>
          <w:b/>
          <w:bCs/>
          <w:i/>
          <w:iCs/>
          <w:caps/>
          <w:color w:val="000000"/>
          <w:lang w:val="en-US"/>
        </w:rPr>
        <w:t>Veshja e pershtatshme</w:t>
      </w:r>
    </w:p>
    <w:p w14:paraId="5885C1A2" w14:textId="77777777" w:rsidR="00015450" w:rsidRPr="002551A1"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1E6249C2" w14:textId="77777777" w:rsidR="00015450" w:rsidRPr="002551A1"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Edhe gjat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or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ve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loj</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 apo mësimit të edukimit fizik, duhet veshur 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m</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nyr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p</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rshtat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shme. Veshja duhet të jetë e lehtë për të evituar djersitjen e tepërt, e lirshme dhe e përshtatshme për t’i dhënë mundësi sa më të mëdha artikulacioneve (kuçeve) të trupit për të lëvizur në të gjitha drejtimet. Nxënësit duhet të jenë të veshur me këpucë sportive (atlete) sa më të lehta e të përshtatshme për palestrat apo terrenet sportive. Këpucët sportive duhet të ruajnë këmbën nga djersitja e tepërt e cila sjell si pasojë sëmundje të ndryshme të lëkurës, si dhe të sigurojnë lëvizshmërinë e kyçit të këmbës duke e ruajtur atë nga dëmtime apo trauma të ndryshme.</w:t>
      </w:r>
    </w:p>
    <w:p w14:paraId="3BB44C27" w14:textId="77777777" w:rsidR="00015450" w:rsidRPr="00563667"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Ruajtja e higjienës personale bëjnë pjesë dhe rregullat e ruajtjes së higjienës së ambientit ku kryhet aktiviteti fizik e sportiv, si p.sh. palestra apo terreni sportiv i shkollës, palestra e klubit sportiv ku stërvitemi apo dhe ambientet e hapura në të cilat kryejmë aktivitet fizik ose sportiv. Respektimi i rregullave të higjienës duhet të bëhet në çdo kohë, para, gjatë dhe pas kryerjes së aktivitetit fizik e sportiv. Ambienti i palestrës duhet të jetë i ajrosur dhe dyshemeja e mjetet mësimore të pastra. Gjithashtu është shumë e rëndësishme për të pasur një shëndet të mirë edhe njohja me gjendjen shëndetësore përpara kryerjes së aktivitetit fizik. M</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suesit duhet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informohen rreth gjendjes sh</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ndet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sore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nxn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nsve p</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rpara fillimit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or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 s</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edukimit fizik, sporte dhe sh</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ndet, p</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r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evituar shqetësime të llojeve të ndryshme fizike (lodhje, dhimbje, këputje), dhe merr masat e nevojshme, për të mundësuar një proces mësimor  të diferencuar në varësi të shqetësimit q</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nx</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si ka.</w:t>
      </w:r>
    </w:p>
    <w:p w14:paraId="0EDA423F" w14:textId="77777777" w:rsidR="00015450"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563667">
        <w:rPr>
          <w:rFonts w:ascii="Times New Roman" w:eastAsiaTheme="minorHAnsi" w:hAnsi="Times New Roman"/>
          <w:color w:val="000000"/>
          <w:lang w:val="en-US"/>
        </w:rPr>
        <w:t>Në orën mësimore kjo temë mund të trajtohet si më poshtë:</w:t>
      </w:r>
    </w:p>
    <w:p w14:paraId="662C28B3" w14:textId="77777777" w:rsidR="00015450" w:rsidRPr="00563667" w:rsidRDefault="00015450" w:rsidP="0001545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2970"/>
        <w:gridCol w:w="1980"/>
        <w:gridCol w:w="1530"/>
      </w:tblGrid>
      <w:tr w:rsidR="00015450" w:rsidRPr="001214E8" w14:paraId="601D8537" w14:textId="77777777" w:rsidTr="009F294E">
        <w:trPr>
          <w:trHeight w:hRule="exact" w:val="550"/>
        </w:trPr>
        <w:tc>
          <w:tcPr>
            <w:tcW w:w="3150" w:type="dxa"/>
            <w:tcBorders>
              <w:bottom w:val="single" w:sz="4" w:space="0" w:color="auto"/>
              <w:right w:val="single" w:sz="4" w:space="0" w:color="auto"/>
            </w:tcBorders>
          </w:tcPr>
          <w:p w14:paraId="4722559C" w14:textId="77777777" w:rsidR="00015450" w:rsidRPr="001214E8" w:rsidRDefault="00015450" w:rsidP="009F294E">
            <w:pPr>
              <w:rPr>
                <w:rFonts w:ascii="Times New Roman" w:hAnsi="Times New Roman"/>
                <w:color w:val="0D0D0D"/>
              </w:rPr>
            </w:pPr>
            <w:r w:rsidRPr="001214E8">
              <w:rPr>
                <w:rFonts w:ascii="Times New Roman" w:hAnsi="Times New Roman"/>
                <w:b/>
                <w:color w:val="0D0D0D"/>
                <w:lang w:eastAsia="sq-AL"/>
              </w:rPr>
              <w:t xml:space="preserve">Fusha: </w:t>
            </w:r>
            <w:r>
              <w:rPr>
                <w:rFonts w:ascii="Times New Roman" w:hAnsi="Times New Roman"/>
                <w:b/>
                <w:color w:val="0D0D0D"/>
                <w:lang w:eastAsia="sq-AL"/>
              </w:rPr>
              <w:t>Edukim fizik sporte dhe shëndet</w:t>
            </w:r>
          </w:p>
          <w:p w14:paraId="0B3B21CF" w14:textId="77777777" w:rsidR="00015450" w:rsidRPr="001214E8" w:rsidRDefault="00015450" w:rsidP="009F294E">
            <w:pPr>
              <w:rPr>
                <w:rFonts w:ascii="Times New Roman" w:hAnsi="Times New Roman"/>
                <w:color w:val="0D0D0D"/>
              </w:rPr>
            </w:pPr>
          </w:p>
        </w:tc>
        <w:tc>
          <w:tcPr>
            <w:tcW w:w="2970" w:type="dxa"/>
            <w:tcBorders>
              <w:left w:val="single" w:sz="4" w:space="0" w:color="auto"/>
              <w:bottom w:val="single" w:sz="4" w:space="0" w:color="auto"/>
              <w:right w:val="single" w:sz="4" w:space="0" w:color="auto"/>
            </w:tcBorders>
          </w:tcPr>
          <w:p w14:paraId="768CB765" w14:textId="77777777" w:rsidR="00015450" w:rsidRPr="001214E8" w:rsidRDefault="00015450" w:rsidP="009F294E">
            <w:pPr>
              <w:rPr>
                <w:rFonts w:ascii="Times New Roman" w:hAnsi="Times New Roman"/>
                <w:color w:val="0D0D0D"/>
              </w:rPr>
            </w:pPr>
            <w:r w:rsidRPr="001214E8">
              <w:rPr>
                <w:rFonts w:ascii="Times New Roman" w:hAnsi="Times New Roman"/>
                <w:b/>
                <w:color w:val="0D0D0D"/>
                <w:lang w:eastAsia="sq-AL"/>
              </w:rPr>
              <w:t xml:space="preserve">Lënda: </w:t>
            </w:r>
            <w:r>
              <w:rPr>
                <w:rFonts w:ascii="Times New Roman" w:hAnsi="Times New Roman"/>
                <w:b/>
                <w:color w:val="0D0D0D"/>
                <w:lang w:eastAsia="sq-AL"/>
              </w:rPr>
              <w:t>Edukim fizik sporte dhe shëndet</w:t>
            </w:r>
          </w:p>
          <w:p w14:paraId="0F649C8C" w14:textId="77777777" w:rsidR="00015450" w:rsidRPr="001214E8" w:rsidRDefault="00015450" w:rsidP="009F294E">
            <w:pPr>
              <w:rPr>
                <w:rFonts w:ascii="Times New Roman" w:hAnsi="Times New Roman"/>
                <w:color w:val="0D0D0D"/>
              </w:rPr>
            </w:pPr>
          </w:p>
        </w:tc>
        <w:tc>
          <w:tcPr>
            <w:tcW w:w="1980" w:type="dxa"/>
            <w:tcBorders>
              <w:left w:val="single" w:sz="4" w:space="0" w:color="auto"/>
              <w:bottom w:val="single" w:sz="4" w:space="0" w:color="auto"/>
              <w:right w:val="single" w:sz="4" w:space="0" w:color="auto"/>
            </w:tcBorders>
          </w:tcPr>
          <w:p w14:paraId="21D66E45" w14:textId="77777777" w:rsidR="00015450" w:rsidRPr="001214E8" w:rsidRDefault="00015450" w:rsidP="009F294E">
            <w:pPr>
              <w:rPr>
                <w:rFonts w:ascii="Times New Roman" w:hAnsi="Times New Roman"/>
                <w:color w:val="0D0D0D"/>
              </w:rPr>
            </w:pPr>
            <w:r w:rsidRPr="001214E8">
              <w:rPr>
                <w:rFonts w:ascii="Times New Roman" w:hAnsi="Times New Roman"/>
                <w:b/>
                <w:color w:val="0D0D0D"/>
                <w:lang w:eastAsia="sq-AL"/>
              </w:rPr>
              <w:t>Shkalla: II</w:t>
            </w:r>
          </w:p>
          <w:p w14:paraId="3A510484" w14:textId="77777777" w:rsidR="00015450" w:rsidRPr="001214E8" w:rsidRDefault="00015450" w:rsidP="009F294E">
            <w:pPr>
              <w:rPr>
                <w:rFonts w:ascii="Times New Roman" w:hAnsi="Times New Roman"/>
                <w:color w:val="0D0D0D"/>
              </w:rPr>
            </w:pPr>
          </w:p>
        </w:tc>
        <w:tc>
          <w:tcPr>
            <w:tcW w:w="1530" w:type="dxa"/>
            <w:tcBorders>
              <w:left w:val="single" w:sz="4" w:space="0" w:color="auto"/>
              <w:bottom w:val="single" w:sz="4" w:space="0" w:color="auto"/>
            </w:tcBorders>
          </w:tcPr>
          <w:p w14:paraId="5126FF50" w14:textId="77777777" w:rsidR="00015450" w:rsidRPr="001214E8" w:rsidRDefault="00015450" w:rsidP="009F294E">
            <w:pPr>
              <w:rPr>
                <w:rFonts w:ascii="Times New Roman" w:hAnsi="Times New Roman"/>
                <w:color w:val="0D0D0D"/>
              </w:rPr>
            </w:pPr>
            <w:r w:rsidRPr="001214E8">
              <w:rPr>
                <w:rFonts w:ascii="Times New Roman" w:hAnsi="Times New Roman"/>
                <w:b/>
                <w:color w:val="0D0D0D"/>
                <w:lang w:eastAsia="sq-AL"/>
              </w:rPr>
              <w:t xml:space="preserve">Klasa e </w:t>
            </w:r>
            <w:r>
              <w:rPr>
                <w:rFonts w:ascii="Times New Roman" w:hAnsi="Times New Roman"/>
                <w:b/>
                <w:color w:val="0D0D0D"/>
                <w:lang w:eastAsia="sq-AL"/>
              </w:rPr>
              <w:t>par</w:t>
            </w:r>
            <w:r w:rsidRPr="001214E8">
              <w:rPr>
                <w:rFonts w:ascii="Times New Roman" w:hAnsi="Times New Roman"/>
                <w:b/>
                <w:color w:val="0D0D0D"/>
                <w:lang w:eastAsia="sq-AL"/>
              </w:rPr>
              <w:t>ë</w:t>
            </w:r>
          </w:p>
        </w:tc>
      </w:tr>
      <w:tr w:rsidR="00015450" w:rsidRPr="002551A1" w14:paraId="7D6563BA"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33"/>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8C710F" w14:textId="77777777" w:rsidR="00015450" w:rsidRPr="002551A1" w:rsidRDefault="00015450"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Tema mësimore:  Veshja e përshtatshme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DA43BD" w14:textId="77777777" w:rsidR="00015450" w:rsidRPr="002551A1" w:rsidRDefault="00015450"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Situata e të nxënit:  Bashkëbisedim, sjellja shembujve dhe reflektim i nxënësve</w:t>
            </w:r>
          </w:p>
        </w:tc>
      </w:tr>
      <w:tr w:rsidR="00015450" w:rsidRPr="002551A1" w14:paraId="69F84CFE"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81"/>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AFCE02" w14:textId="77777777" w:rsidR="00015450" w:rsidRPr="00D21E9D" w:rsidRDefault="00015450"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347EEAE2" w14:textId="77777777" w:rsidR="00015450" w:rsidRPr="00AA0744" w:rsidRDefault="00015450" w:rsidP="009F294E">
            <w:pPr>
              <w:spacing w:after="0"/>
              <w:rPr>
                <w:rFonts w:ascii="Times New Roman" w:hAnsi="Times New Roman"/>
                <w:b/>
              </w:rPr>
            </w:pPr>
            <w:r w:rsidRPr="00D21E9D">
              <w:rPr>
                <w:rFonts w:ascii="Times New Roman" w:hAnsi="Times New Roman"/>
                <w:b/>
              </w:rPr>
              <w:t xml:space="preserve">Nxënësi: </w:t>
            </w:r>
          </w:p>
          <w:p w14:paraId="0405B6DF" w14:textId="77777777" w:rsidR="00015450" w:rsidRPr="002A0EF1" w:rsidRDefault="00015450" w:rsidP="00015450">
            <w:pPr>
              <w:pStyle w:val="ListParagraph"/>
              <w:widowControl w:val="0"/>
              <w:numPr>
                <w:ilvl w:val="0"/>
                <w:numId w:val="18"/>
              </w:numPr>
              <w:autoSpaceDE w:val="0"/>
              <w:autoSpaceDN w:val="0"/>
              <w:adjustRightInd w:val="0"/>
              <w:spacing w:after="0" w:line="240" w:lineRule="auto"/>
              <w:jc w:val="both"/>
              <w:textAlignment w:val="center"/>
              <w:rPr>
                <w:rFonts w:ascii="Times New Roman" w:eastAsiaTheme="minorHAnsi" w:hAnsi="Times New Roman"/>
                <w:color w:val="000000"/>
                <w:lang w:val="en-US"/>
              </w:rPr>
            </w:pPr>
            <w:r w:rsidRPr="002A0EF1">
              <w:rPr>
                <w:rFonts w:ascii="Times New Roman" w:eastAsiaTheme="minorHAnsi" w:hAnsi="Times New Roman"/>
                <w:color w:val="000000"/>
                <w:lang w:val="en-US"/>
              </w:rPr>
              <w:t>Njeh dhe zbaton mënyrat e duhura të veshjes në përshtatje me veprimtarinë që kryen dhe në shërbim të ruajtjes së shëndetit.</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454986"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Fjalë kyçe: </w:t>
            </w:r>
          </w:p>
          <w:p w14:paraId="7F228293" w14:textId="77777777" w:rsidR="00015450" w:rsidRPr="002551A1" w:rsidRDefault="00015450"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Veshje e përshatëshme </w:t>
            </w:r>
          </w:p>
        </w:tc>
      </w:tr>
      <w:tr w:rsidR="00015450" w:rsidRPr="002551A1" w14:paraId="02192B47"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693"/>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AE9565"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Burimet:</w:t>
            </w:r>
          </w:p>
          <w:p w14:paraId="45A63DD3" w14:textId="77777777" w:rsidR="00015450" w:rsidRPr="002551A1" w:rsidRDefault="00015450"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Teksti i nxënësit, programi, udhëzuesi i mësuesit dhe literaturë ndihmëse.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9EA47E" w14:textId="77777777" w:rsidR="00015450" w:rsidRPr="002551A1" w:rsidRDefault="00015450"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Lidhja me fushat e tjera ose me temat ndërkurrikulare:</w:t>
            </w:r>
            <w:r w:rsidRPr="002551A1">
              <w:rPr>
                <w:rFonts w:ascii="Times New Roman" w:eastAsiaTheme="minorHAnsi" w:hAnsi="Times New Roman"/>
                <w:color w:val="000000"/>
                <w:lang w:val="en-US"/>
              </w:rPr>
              <w:t xml:space="preserve"> Shkencat natyrore, Gjuhën dhe komunikimin</w:t>
            </w:r>
          </w:p>
        </w:tc>
      </w:tr>
      <w:tr w:rsidR="00015450" w:rsidRPr="002551A1" w14:paraId="37375B2D"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487"/>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9DEA6F" w14:textId="77777777" w:rsidR="00015450" w:rsidRPr="002551A1" w:rsidRDefault="00015450" w:rsidP="009F294E">
            <w:pPr>
              <w:widowControl w:val="0"/>
              <w:autoSpaceDE w:val="0"/>
              <w:autoSpaceDN w:val="0"/>
              <w:adjustRightInd w:val="0"/>
              <w:spacing w:after="0" w:line="240" w:lineRule="auto"/>
              <w:ind w:left="283"/>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Metodologjia dhe veprimtaritë e nxënësve</w:t>
            </w:r>
          </w:p>
        </w:tc>
      </w:tr>
      <w:tr w:rsidR="00015450" w:rsidRPr="002551A1" w14:paraId="02A008ED"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688"/>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B19653"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lastRenderedPageBreak/>
              <w:t xml:space="preserve">Faza e parë: </w:t>
            </w:r>
            <w:r w:rsidRPr="002551A1">
              <w:rPr>
                <w:rFonts w:ascii="Times New Roman" w:eastAsiaTheme="minorHAnsi" w:hAnsi="Times New Roman"/>
                <w:color w:val="000000"/>
                <w:lang w:val="en-US"/>
              </w:rPr>
              <w:t>mësuesi i fton nxnënësit të shikojnë figurën dhe të diskutojnë rreth asaj që kuptojnë prej saj.</w:t>
            </w:r>
          </w:p>
          <w:p w14:paraId="74E0EB34"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Faza e dytë: </w:t>
            </w:r>
            <w:r w:rsidRPr="002551A1">
              <w:rPr>
                <w:rFonts w:ascii="Times New Roman" w:eastAsiaTheme="minorHAnsi" w:hAnsi="Times New Roman"/>
                <w:color w:val="000000"/>
                <w:lang w:val="en-US"/>
              </w:rPr>
              <w:t>Mësuesi kërkon prej nxnënësve të lexojnë tregimin dhe më pas i fton ata të dikutojnë rreth pyetjeve:</w:t>
            </w:r>
            <w:r w:rsidRPr="002551A1">
              <w:rPr>
                <w:rFonts w:ascii="Times New Roman" w:eastAsiaTheme="minorHAnsi" w:hAnsi="Times New Roman"/>
                <w:b/>
                <w:bCs/>
                <w:color w:val="000000"/>
                <w:lang w:val="en-US"/>
              </w:rPr>
              <w:t xml:space="preserve"> </w:t>
            </w:r>
          </w:p>
          <w:p w14:paraId="73AC3029" w14:textId="77777777" w:rsidR="00015450" w:rsidRPr="002551A1" w:rsidRDefault="00015450"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r w:rsidRPr="002551A1">
              <w:rPr>
                <w:rFonts w:ascii="Times New Roman" w:eastAsiaTheme="minorHAnsi" w:hAnsi="Times New Roman"/>
                <w:color w:val="000000"/>
                <w:lang w:val="en-US"/>
              </w:rPr>
              <w:tab/>
              <w:t>Pse u sëmurën Enkeli dhe Teuta?</w:t>
            </w:r>
          </w:p>
          <w:p w14:paraId="2FC081EB" w14:textId="77777777" w:rsidR="00015450" w:rsidRPr="002551A1" w:rsidRDefault="00015450"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r w:rsidRPr="002551A1">
              <w:rPr>
                <w:rFonts w:ascii="Times New Roman" w:eastAsiaTheme="minorHAnsi" w:hAnsi="Times New Roman"/>
                <w:color w:val="000000"/>
                <w:lang w:val="en-US"/>
              </w:rPr>
              <w:tab/>
              <w:t>Cila do të ishte veshja e përshtatshme për të luajtur jashtë?</w:t>
            </w:r>
          </w:p>
          <w:p w14:paraId="0744D2F1"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tretë: </w:t>
            </w:r>
            <w:r>
              <w:rPr>
                <w:rFonts w:ascii="Times New Roman" w:eastAsiaTheme="minorHAnsi" w:hAnsi="Times New Roman"/>
                <w:color w:val="000000"/>
                <w:lang w:val="en-US"/>
              </w:rPr>
              <w:t xml:space="preserve">Mësuesi </w:t>
            </w:r>
            <w:r w:rsidRPr="002551A1">
              <w:rPr>
                <w:rFonts w:ascii="Times New Roman" w:eastAsiaTheme="minorHAnsi" w:hAnsi="Times New Roman"/>
                <w:color w:val="000000"/>
                <w:lang w:val="en-US"/>
              </w:rPr>
              <w:t>fillon të shpjegojë me shembuj konkret rreth mënurave të duhura të veshjes në përshtatje me stinët, temperaturat dhe llojin e veprimtarisë që do të kryhet.</w:t>
            </w:r>
          </w:p>
          <w:p w14:paraId="765D0E5C"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katërt: </w:t>
            </w:r>
            <w:r w:rsidRPr="002551A1">
              <w:rPr>
                <w:rFonts w:ascii="Times New Roman" w:eastAsiaTheme="minorHAnsi" w:hAnsi="Times New Roman"/>
                <w:color w:val="000000"/>
                <w:lang w:val="en-US"/>
              </w:rPr>
              <w:t xml:space="preserve">Mësuesi drejton nxënënsit në një diskutim pas plotësimit të tabelave. </w:t>
            </w:r>
          </w:p>
          <w:p w14:paraId="6AFCE312"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Mësuesi duhet të tregojë kujdes në dhënien e mundësisë për t’u shprehur dhe për t’u aktivizuar në diskutim të gjithë nxënësve në klasë.</w:t>
            </w:r>
          </w:p>
        </w:tc>
      </w:tr>
      <w:tr w:rsidR="00015450" w:rsidRPr="002551A1" w14:paraId="4C3021B2"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197"/>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83286A"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Vlerësimi:</w:t>
            </w:r>
          </w:p>
          <w:p w14:paraId="52B24CD1"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Nxënësit/et do të vëzhgohen gjatë bashkëveprimit me njëri –tjetrin dhe mësuesin/en për njohjuritë që kanë rreth temës mësimore</w:t>
            </w:r>
            <w:r>
              <w:rPr>
                <w:rFonts w:ascii="Times New Roman" w:eastAsiaTheme="minorHAnsi" w:hAnsi="Times New Roman"/>
                <w:color w:val="000000"/>
                <w:lang w:val="en-US"/>
              </w:rPr>
              <w:t>.</w:t>
            </w:r>
          </w:p>
          <w:p w14:paraId="1D39C465"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Do të vlerësohen pë</w:t>
            </w:r>
            <w:r>
              <w:rPr>
                <w:rFonts w:ascii="Times New Roman" w:eastAsiaTheme="minorHAnsi" w:hAnsi="Times New Roman"/>
                <w:color w:val="000000"/>
                <w:lang w:val="en-US"/>
              </w:rPr>
              <w:t>r dukuritë pozitive të shfaqura</w:t>
            </w:r>
            <w:r w:rsidRPr="002551A1">
              <w:rPr>
                <w:rFonts w:ascii="Times New Roman" w:eastAsiaTheme="minorHAnsi" w:hAnsi="Times New Roman"/>
                <w:color w:val="000000"/>
                <w:lang w:val="en-US"/>
              </w:rPr>
              <w:t xml:space="preserve"> gjatë dikutimit (respektimi mendimit të shokëve, rradhës së diskutimit, pjesmarrja aktive në diskutim, etj.) </w:t>
            </w:r>
          </w:p>
        </w:tc>
      </w:tr>
      <w:tr w:rsidR="00015450" w:rsidRPr="002551A1" w14:paraId="4C1A662F"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87"/>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897CAF" w14:textId="77777777"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Detyrat dhe puna e pavarur: </w:t>
            </w:r>
          </w:p>
          <w:p w14:paraId="4E81294E" w14:textId="525FB27C" w:rsidR="00015450" w:rsidRPr="002551A1" w:rsidRDefault="00015450"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Plotësimi i tabelave në tekst</w:t>
            </w:r>
            <w:r w:rsidR="00D30731">
              <w:rPr>
                <w:rFonts w:ascii="Times New Roman" w:eastAsiaTheme="minorHAnsi" w:hAnsi="Times New Roman"/>
                <w:color w:val="000000"/>
                <w:lang w:val="en-US"/>
              </w:rPr>
              <w:t>.</w:t>
            </w:r>
            <w:bookmarkStart w:id="0" w:name="_GoBack"/>
            <w:bookmarkEnd w:id="0"/>
          </w:p>
        </w:tc>
      </w:tr>
    </w:tbl>
    <w:p w14:paraId="2BCEF28A" w14:textId="77777777" w:rsidR="00015450" w:rsidRDefault="00015450" w:rsidP="0001545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3D3B6D54" w14:textId="77777777" w:rsidR="00015450" w:rsidRDefault="00015450" w:rsidP="0001545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67EA3C6A" w14:textId="77777777" w:rsidR="002551A1" w:rsidRPr="00015450" w:rsidRDefault="002551A1" w:rsidP="00015450"/>
    <w:sectPr w:rsidR="002551A1" w:rsidRPr="00015450" w:rsidSect="008910E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A71"/>
    <w:multiLevelType w:val="hybridMultilevel"/>
    <w:tmpl w:val="4A061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F1D78"/>
    <w:multiLevelType w:val="hybridMultilevel"/>
    <w:tmpl w:val="5874F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BA41B8"/>
    <w:multiLevelType w:val="hybridMultilevel"/>
    <w:tmpl w:val="FAAE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D7286D"/>
    <w:multiLevelType w:val="hybridMultilevel"/>
    <w:tmpl w:val="3DDEC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F779C6"/>
    <w:multiLevelType w:val="hybridMultilevel"/>
    <w:tmpl w:val="D3DE8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9E36D4"/>
    <w:multiLevelType w:val="hybridMultilevel"/>
    <w:tmpl w:val="6A36F16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10A7F"/>
    <w:multiLevelType w:val="hybridMultilevel"/>
    <w:tmpl w:val="AFDE5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822355"/>
    <w:multiLevelType w:val="hybridMultilevel"/>
    <w:tmpl w:val="52FE4AF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2BA7B8C"/>
    <w:multiLevelType w:val="hybridMultilevel"/>
    <w:tmpl w:val="5CFC8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4E2B90"/>
    <w:multiLevelType w:val="hybridMultilevel"/>
    <w:tmpl w:val="E8F8F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063C12"/>
    <w:multiLevelType w:val="hybridMultilevel"/>
    <w:tmpl w:val="819A9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F337EB"/>
    <w:multiLevelType w:val="hybridMultilevel"/>
    <w:tmpl w:val="CCE62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11490E"/>
    <w:multiLevelType w:val="hybridMultilevel"/>
    <w:tmpl w:val="A0AA4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B76811"/>
    <w:multiLevelType w:val="hybridMultilevel"/>
    <w:tmpl w:val="5AD05DE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3259C2"/>
    <w:multiLevelType w:val="hybridMultilevel"/>
    <w:tmpl w:val="4F3AB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63760D"/>
    <w:multiLevelType w:val="hybridMultilevel"/>
    <w:tmpl w:val="0D3E666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EA373D"/>
    <w:multiLevelType w:val="hybridMultilevel"/>
    <w:tmpl w:val="D408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B96A1F"/>
    <w:multiLevelType w:val="hybridMultilevel"/>
    <w:tmpl w:val="F80A3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3C76937"/>
    <w:multiLevelType w:val="hybridMultilevel"/>
    <w:tmpl w:val="F3EE9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B1692B"/>
    <w:multiLevelType w:val="hybridMultilevel"/>
    <w:tmpl w:val="D854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BE56651"/>
    <w:multiLevelType w:val="hybridMultilevel"/>
    <w:tmpl w:val="DD9C3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3D01C0"/>
    <w:multiLevelType w:val="hybridMultilevel"/>
    <w:tmpl w:val="9294D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E4748B1"/>
    <w:multiLevelType w:val="hybridMultilevel"/>
    <w:tmpl w:val="EAEAA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64087C"/>
    <w:multiLevelType w:val="hybridMultilevel"/>
    <w:tmpl w:val="4A1EE86A"/>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8F1B3E"/>
    <w:multiLevelType w:val="hybridMultilevel"/>
    <w:tmpl w:val="B47C6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7CE3E29"/>
    <w:multiLevelType w:val="hybridMultilevel"/>
    <w:tmpl w:val="F074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933443"/>
    <w:multiLevelType w:val="hybridMultilevel"/>
    <w:tmpl w:val="6206F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071FC8"/>
    <w:multiLevelType w:val="hybridMultilevel"/>
    <w:tmpl w:val="D2D82FF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1C2BC2"/>
    <w:multiLevelType w:val="hybridMultilevel"/>
    <w:tmpl w:val="FD58C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9E53625"/>
    <w:multiLevelType w:val="hybridMultilevel"/>
    <w:tmpl w:val="C4D4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920B27"/>
    <w:multiLevelType w:val="hybridMultilevel"/>
    <w:tmpl w:val="2AAC6EDA"/>
    <w:lvl w:ilvl="0" w:tplc="84760AB6">
      <w:start w:val="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334E2C"/>
    <w:multiLevelType w:val="hybridMultilevel"/>
    <w:tmpl w:val="76980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A25197"/>
    <w:multiLevelType w:val="hybridMultilevel"/>
    <w:tmpl w:val="B04287C4"/>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04164F"/>
    <w:multiLevelType w:val="hybridMultilevel"/>
    <w:tmpl w:val="14320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0"/>
  </w:num>
  <w:num w:numId="3">
    <w:abstractNumId w:val="22"/>
  </w:num>
  <w:num w:numId="4">
    <w:abstractNumId w:val="24"/>
  </w:num>
  <w:num w:numId="5">
    <w:abstractNumId w:val="20"/>
  </w:num>
  <w:num w:numId="6">
    <w:abstractNumId w:val="8"/>
  </w:num>
  <w:num w:numId="7">
    <w:abstractNumId w:val="32"/>
  </w:num>
  <w:num w:numId="8">
    <w:abstractNumId w:val="19"/>
  </w:num>
  <w:num w:numId="9">
    <w:abstractNumId w:val="6"/>
  </w:num>
  <w:num w:numId="10">
    <w:abstractNumId w:val="37"/>
  </w:num>
  <w:num w:numId="11">
    <w:abstractNumId w:val="34"/>
  </w:num>
  <w:num w:numId="12">
    <w:abstractNumId w:val="26"/>
  </w:num>
  <w:num w:numId="13">
    <w:abstractNumId w:val="12"/>
  </w:num>
  <w:num w:numId="14">
    <w:abstractNumId w:val="30"/>
  </w:num>
  <w:num w:numId="15">
    <w:abstractNumId w:val="7"/>
  </w:num>
  <w:num w:numId="16">
    <w:abstractNumId w:val="36"/>
  </w:num>
  <w:num w:numId="17">
    <w:abstractNumId w:val="23"/>
  </w:num>
  <w:num w:numId="18">
    <w:abstractNumId w:val="0"/>
  </w:num>
  <w:num w:numId="19">
    <w:abstractNumId w:val="5"/>
  </w:num>
  <w:num w:numId="20">
    <w:abstractNumId w:val="35"/>
  </w:num>
  <w:num w:numId="21">
    <w:abstractNumId w:val="9"/>
  </w:num>
  <w:num w:numId="22">
    <w:abstractNumId w:val="16"/>
  </w:num>
  <w:num w:numId="23">
    <w:abstractNumId w:val="1"/>
  </w:num>
  <w:num w:numId="24">
    <w:abstractNumId w:val="21"/>
  </w:num>
  <w:num w:numId="25">
    <w:abstractNumId w:val="28"/>
  </w:num>
  <w:num w:numId="26">
    <w:abstractNumId w:val="38"/>
  </w:num>
  <w:num w:numId="27">
    <w:abstractNumId w:val="10"/>
  </w:num>
  <w:num w:numId="28">
    <w:abstractNumId w:val="11"/>
  </w:num>
  <w:num w:numId="29">
    <w:abstractNumId w:val="15"/>
  </w:num>
  <w:num w:numId="30">
    <w:abstractNumId w:val="33"/>
  </w:num>
  <w:num w:numId="31">
    <w:abstractNumId w:val="14"/>
  </w:num>
  <w:num w:numId="32">
    <w:abstractNumId w:val="13"/>
  </w:num>
  <w:num w:numId="33">
    <w:abstractNumId w:val="2"/>
  </w:num>
  <w:num w:numId="34">
    <w:abstractNumId w:val="31"/>
  </w:num>
  <w:num w:numId="35">
    <w:abstractNumId w:val="25"/>
  </w:num>
  <w:num w:numId="36">
    <w:abstractNumId w:val="4"/>
  </w:num>
  <w:num w:numId="37">
    <w:abstractNumId w:val="18"/>
  </w:num>
  <w:num w:numId="38">
    <w:abstractNumId w:val="3"/>
  </w:num>
  <w:num w:numId="39">
    <w:abstractNumId w:val="39"/>
  </w:num>
  <w:num w:numId="40">
    <w:abstractNumId w:val="2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compat>
    <w:compatSetting w:name="compatibilityMode" w:uri="http://schemas.microsoft.com/office/word" w:val="12"/>
  </w:compat>
  <w:rsids>
    <w:rsidRoot w:val="00D410E7"/>
    <w:rsid w:val="000126F8"/>
    <w:rsid w:val="00015450"/>
    <w:rsid w:val="000362A3"/>
    <w:rsid w:val="0003641F"/>
    <w:rsid w:val="00054707"/>
    <w:rsid w:val="00081D4C"/>
    <w:rsid w:val="0009656D"/>
    <w:rsid w:val="000E1D57"/>
    <w:rsid w:val="000E6EF8"/>
    <w:rsid w:val="0010200A"/>
    <w:rsid w:val="00193E73"/>
    <w:rsid w:val="001F2F41"/>
    <w:rsid w:val="002551A1"/>
    <w:rsid w:val="0027325A"/>
    <w:rsid w:val="00291A02"/>
    <w:rsid w:val="002A0EF1"/>
    <w:rsid w:val="00344419"/>
    <w:rsid w:val="00356370"/>
    <w:rsid w:val="003F3CD1"/>
    <w:rsid w:val="004525CF"/>
    <w:rsid w:val="004C6CD9"/>
    <w:rsid w:val="00531DD6"/>
    <w:rsid w:val="00534FC8"/>
    <w:rsid w:val="00537BA7"/>
    <w:rsid w:val="0056239A"/>
    <w:rsid w:val="00563667"/>
    <w:rsid w:val="00583D48"/>
    <w:rsid w:val="005B6C62"/>
    <w:rsid w:val="00602A67"/>
    <w:rsid w:val="00631657"/>
    <w:rsid w:val="00640D7C"/>
    <w:rsid w:val="00683004"/>
    <w:rsid w:val="006D254F"/>
    <w:rsid w:val="006D6564"/>
    <w:rsid w:val="006D7C2D"/>
    <w:rsid w:val="006F4AA2"/>
    <w:rsid w:val="00701AA1"/>
    <w:rsid w:val="00725151"/>
    <w:rsid w:val="00784222"/>
    <w:rsid w:val="007A2BB4"/>
    <w:rsid w:val="007A43F9"/>
    <w:rsid w:val="007A717A"/>
    <w:rsid w:val="007D3BD5"/>
    <w:rsid w:val="007F130E"/>
    <w:rsid w:val="008910E8"/>
    <w:rsid w:val="008B2683"/>
    <w:rsid w:val="008C3D16"/>
    <w:rsid w:val="008E098D"/>
    <w:rsid w:val="00914BE2"/>
    <w:rsid w:val="0091609A"/>
    <w:rsid w:val="00975BE0"/>
    <w:rsid w:val="009916D9"/>
    <w:rsid w:val="009E5711"/>
    <w:rsid w:val="00A0689D"/>
    <w:rsid w:val="00A15708"/>
    <w:rsid w:val="00A4223A"/>
    <w:rsid w:val="00A51CE0"/>
    <w:rsid w:val="00A611EA"/>
    <w:rsid w:val="00A847B2"/>
    <w:rsid w:val="00AA0744"/>
    <w:rsid w:val="00AA764E"/>
    <w:rsid w:val="00AB2110"/>
    <w:rsid w:val="00AB6453"/>
    <w:rsid w:val="00AC3BC4"/>
    <w:rsid w:val="00AE3508"/>
    <w:rsid w:val="00B62E79"/>
    <w:rsid w:val="00BD2CD2"/>
    <w:rsid w:val="00BF00D4"/>
    <w:rsid w:val="00BF78FE"/>
    <w:rsid w:val="00C907FF"/>
    <w:rsid w:val="00C90E1D"/>
    <w:rsid w:val="00CC6C9B"/>
    <w:rsid w:val="00D30731"/>
    <w:rsid w:val="00D410E7"/>
    <w:rsid w:val="00DB6126"/>
    <w:rsid w:val="00DD7CFE"/>
    <w:rsid w:val="00E32C9B"/>
    <w:rsid w:val="00E54673"/>
    <w:rsid w:val="00E6214C"/>
    <w:rsid w:val="00E725BF"/>
    <w:rsid w:val="00EC4C44"/>
    <w:rsid w:val="00F72482"/>
    <w:rsid w:val="00F91C13"/>
    <w:rsid w:val="00FC0AA0"/>
    <w:rsid w:val="00FE4625"/>
    <w:rsid w:val="00FF50C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2</Pages>
  <Words>526</Words>
  <Characters>3002</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80</cp:revision>
  <dcterms:created xsi:type="dcterms:W3CDTF">2015-09-14T13:31:00Z</dcterms:created>
  <dcterms:modified xsi:type="dcterms:W3CDTF">2017-09-12T08:24:00Z</dcterms:modified>
</cp:coreProperties>
</file>