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00278" w14:textId="77777777" w:rsidR="00E3423E" w:rsidRPr="003504EA" w:rsidRDefault="00E3423E" w:rsidP="00E3423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10: Veprimtari “Takim me një dentist”</w:t>
      </w:r>
    </w:p>
    <w:p w14:paraId="4F8B6A0B" w14:textId="77777777" w:rsidR="00E3423E" w:rsidRPr="00365A4E" w:rsidRDefault="00E3423E" w:rsidP="00E3423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2701308" w14:textId="77777777" w:rsidR="00E3423E" w:rsidRPr="00365A4E" w:rsidRDefault="00E3423E" w:rsidP="00E3423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Si përmbledhëse e të gjitha njohurive të trajtuara në temat mësimore të mësipërme, do të zhvillohet një veprimtari, që konsiston në organizimin e një takimi me një mjeke, e cila do t’u flasë nxënës</w:t>
      </w:r>
      <w:r>
        <w:rPr>
          <w:rFonts w:ascii="Times New Roman" w:eastAsiaTheme="minorHAnsi" w:hAnsi="Times New Roman"/>
          <w:color w:val="000000"/>
          <w:lang w:val="en-US"/>
        </w:rPr>
        <w:t xml:space="preserve">ve rreth kujdesit për dhëmbët. </w:t>
      </w:r>
      <w:r w:rsidRPr="00365A4E">
        <w:rPr>
          <w:rFonts w:ascii="Times New Roman" w:eastAsiaTheme="minorHAnsi" w:hAnsi="Times New Roman"/>
          <w:color w:val="000000"/>
          <w:lang w:val="en-US"/>
        </w:rPr>
        <w:t>Kjo veprimtari duhet të ndihmojë nxënësit të reflektojnë mbi njohuritë e marra, të ngacmojë tek ta të menduarit kritik, si dhe të zhvillojë aftësitë e komunikimit dhe të shprehurit.</w:t>
      </w:r>
    </w:p>
    <w:p w14:paraId="1096DBC5" w14:textId="77777777" w:rsidR="00E3423E" w:rsidRPr="00365A4E" w:rsidRDefault="00E3423E" w:rsidP="00E3423E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0679E172" w14:textId="77777777" w:rsidR="00E3423E" w:rsidRDefault="00E3423E" w:rsidP="00E3423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0CCA93D4" w14:textId="77777777" w:rsidR="00E3423E" w:rsidRPr="00365A4E" w:rsidRDefault="00E3423E" w:rsidP="00E3423E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E3423E" w:rsidRPr="003504EA" w14:paraId="6E71F5AE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F572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5F08D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A3EC5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6D478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E3423E" w:rsidRPr="003504EA" w14:paraId="18460F53" w14:textId="77777777" w:rsidTr="009F294E">
        <w:trPr>
          <w:trHeight w:val="96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F83E" w14:textId="36D104DB" w:rsidR="00E3423E" w:rsidRPr="003504EA" w:rsidRDefault="00E3423E" w:rsidP="001E69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Tema mësimore: </w:t>
            </w:r>
            <w:r w:rsidR="001E6919" w:rsidRPr="001E6919">
              <w:rPr>
                <w:rFonts w:ascii="Times New Roman" w:eastAsiaTheme="minorHAnsi" w:hAnsi="Times New Roman"/>
                <w:b/>
                <w:bCs/>
                <w:iCs/>
                <w:color w:val="000000"/>
                <w:lang w:val="en-US"/>
              </w:rPr>
              <w:t>Veprimtari</w:t>
            </w:r>
            <w:r w:rsidR="001E6919" w:rsidRPr="001E691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="001E691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“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Takim me </w:t>
            </w:r>
            <w:r w:rsidR="00DB6754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një dentist</w:t>
            </w:r>
            <w:r w:rsidR="001E6919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”</w:t>
            </w:r>
            <w:bookmarkStart w:id="0" w:name="_GoBack"/>
            <w:bookmarkEnd w:id="0"/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228E1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</w:t>
            </w:r>
          </w:p>
          <w:p w14:paraId="36272F15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Takim me një mjeke, bashkëbisedim pyetje-përgjigje, sjellja shembujve dhe reflektim i nxënësve. </w:t>
            </w:r>
          </w:p>
        </w:tc>
      </w:tr>
      <w:tr w:rsidR="00E3423E" w:rsidRPr="003504EA" w14:paraId="462ECE42" w14:textId="77777777" w:rsidTr="009F294E">
        <w:trPr>
          <w:trHeight w:val="180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69CB2" w14:textId="77777777" w:rsidR="00E3423E" w:rsidRPr="00D21E9D" w:rsidRDefault="00E3423E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287645B0" w14:textId="77777777" w:rsidR="00E3423E" w:rsidRPr="00AA0744" w:rsidRDefault="00E3423E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C5C2F6D" w14:textId="77777777" w:rsidR="00E3423E" w:rsidRPr="00621506" w:rsidRDefault="00E3423E" w:rsidP="00E3423E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Identifikon situata (simptoma) të thjeshta shëndetësore (temperaturën, kollën, dhimbje të barkut, etj.).</w:t>
            </w:r>
          </w:p>
          <w:p w14:paraId="5794552B" w14:textId="77777777" w:rsidR="00E3423E" w:rsidRPr="00621506" w:rsidRDefault="00E3423E" w:rsidP="00E3423E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Pi barnat vetëm me këshillën e mjekut pediatër dhe në prani të prindërve.</w:t>
            </w:r>
          </w:p>
          <w:p w14:paraId="70943406" w14:textId="77777777" w:rsidR="00E3423E" w:rsidRPr="00621506" w:rsidRDefault="00E3423E" w:rsidP="00E3423E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621506">
              <w:rPr>
                <w:rFonts w:ascii="Times New Roman" w:eastAsiaTheme="minorHAnsi" w:hAnsi="Times New Roman"/>
                <w:color w:val="000000"/>
                <w:lang w:val="en-US"/>
              </w:rPr>
              <w:t>Kupton se disa barna (medikamente) dhe vaksinat ndikojnë në pozitivisht në shëndetin dhe mirëqenien e tij/saj.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CCF7B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1AD05A8F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j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desi për dhëmbët</w:t>
            </w:r>
          </w:p>
        </w:tc>
      </w:tr>
      <w:tr w:rsidR="00E3423E" w:rsidRPr="003504EA" w14:paraId="47CB054C" w14:textId="77777777" w:rsidTr="009F294E">
        <w:trPr>
          <w:trHeight w:val="50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B82B3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2AC1B830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3D4E3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E3423E" w:rsidRPr="003504EA" w14:paraId="05D8FD0F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6FF9D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E3423E" w:rsidRPr="003504EA" w14:paraId="7B9ED583" w14:textId="77777777" w:rsidTr="009F294E">
        <w:trPr>
          <w:trHeight w:val="273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E5D0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1: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duhet të instruktojë nxënësit që të bisedojnë më parë në shtëpi me prindërit për të marrë informac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ion rreth asaj që dinë ata mbi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dhëmbët, sëmundjen e tyre dhe rregullat për higjienën e tyre.</w:t>
            </w:r>
          </w:p>
          <w:p w14:paraId="362D53B3" w14:textId="77777777" w:rsidR="00E3423E" w:rsidRPr="00621506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2: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duhet të instruktojë nxënësit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që të konsultohen me prindërit rreth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asaj që dëshirojnë të mësojnë nga mjekja.</w:t>
            </w:r>
          </w:p>
          <w:p w14:paraId="03F0CCAD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3: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drejton nxënësit të bëjnë një listë me pyetje për mjeken, rreth temës së veprimtarisë</w:t>
            </w:r>
          </w:p>
          <w:p w14:paraId="47E8C9BC" w14:textId="77777777" w:rsidR="00E3423E" w:rsidRPr="00621506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4: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Lista me pyetje i jepet mjekut një ditë përpara, që të përgatisë përgjigjet.</w:t>
            </w:r>
          </w:p>
          <w:p w14:paraId="489016AD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5: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Organizohet takimi në klasë me mjeken. Mësuesi drejton bashkëbisedimin rreth pyetjeve që janë në listë, por nxënësit mund të bëjnë edhe pyetje të tjera, që të lindin gjatë bisedës.</w:t>
            </w:r>
          </w:p>
          <w:p w14:paraId="5AC2BB78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 këtë fazë mësuesi duhet të tregojë kujdes në dhënien e mundësisë për t’u shprehur dhe për t’u aktivizuar në diskutim të gjithë nxënësve në klasë.</w:t>
            </w:r>
          </w:p>
        </w:tc>
      </w:tr>
      <w:tr w:rsidR="00E3423E" w:rsidRPr="003504EA" w14:paraId="5537F7BD" w14:textId="77777777" w:rsidTr="009F294E">
        <w:trPr>
          <w:trHeight w:val="102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20A83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0D0A0A40" w14:textId="77777777" w:rsidR="00E3423E" w:rsidRPr="003504EA" w:rsidRDefault="00E3423E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–tjetrin, me mësuesin/en dhe mjekun për njohuritë që kanë rreth temës që diskutohet.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diskutimit, (respektimi mendimit të shokëve, radhës së diskutimit, pjesëmarrja aktive në diskutim, etj.) </w:t>
            </w:r>
          </w:p>
        </w:tc>
      </w:tr>
    </w:tbl>
    <w:p w14:paraId="3A2F60D3" w14:textId="77777777" w:rsidR="003504EA" w:rsidRPr="00E3423E" w:rsidRDefault="003504EA" w:rsidP="00E3423E"/>
    <w:sectPr w:rsidR="003504EA" w:rsidRPr="00E3423E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70E2"/>
    <w:rsid w:val="001A2675"/>
    <w:rsid w:val="001C2B28"/>
    <w:rsid w:val="001E1B01"/>
    <w:rsid w:val="001E6919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410E7"/>
    <w:rsid w:val="00D8122C"/>
    <w:rsid w:val="00D82F29"/>
    <w:rsid w:val="00DA793F"/>
    <w:rsid w:val="00DB6126"/>
    <w:rsid w:val="00DB6754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390</Words>
  <Characters>2223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101</cp:revision>
  <dcterms:created xsi:type="dcterms:W3CDTF">2015-09-14T13:31:00Z</dcterms:created>
  <dcterms:modified xsi:type="dcterms:W3CDTF">2017-09-12T09:08:00Z</dcterms:modified>
</cp:coreProperties>
</file>