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A8391" w14:textId="242EB795" w:rsidR="00DB1493" w:rsidRPr="00341670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96266E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1.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3:  Adoleshenca dhe diferencat gjinore  </w:t>
      </w:r>
    </w:p>
    <w:p w14:paraId="15B64704" w14:textId="77777777" w:rsidR="00DB1493" w:rsidRPr="00341670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0CCF2951" w14:textId="77777777" w:rsidR="00DB1493" w:rsidRPr="00341670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Adoleshenca thënë ndryshe “periudha e pubertetit” </w:t>
      </w:r>
      <w:r w:rsidRPr="00290059">
        <w:rPr>
          <w:rFonts w:ascii="Times New Roman" w:eastAsiaTheme="minorHAnsi" w:hAnsi="Times New Roman"/>
          <w:color w:val="000000"/>
          <w:lang w:val="en-US"/>
        </w:rPr>
        <w:t>është një periudhë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shtrirë në disa vite, </w:t>
      </w:r>
      <w:r w:rsidRPr="00290059">
        <w:rPr>
          <w:rFonts w:ascii="Times New Roman" w:eastAsiaTheme="minorHAnsi" w:hAnsi="Times New Roman"/>
          <w:color w:val="000000"/>
          <w:lang w:val="en-US"/>
        </w:rPr>
        <w:t>në të cilën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ndodh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rritja e shpejtë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bookmarkStart w:id="0" w:name="_GoBack"/>
      <w:bookmarkEnd w:id="0"/>
      <w:r w:rsidRPr="00290059">
        <w:rPr>
          <w:rFonts w:ascii="Times New Roman" w:eastAsiaTheme="minorHAnsi" w:hAnsi="Times New Roman"/>
          <w:color w:val="000000"/>
          <w:lang w:val="en-US"/>
        </w:rPr>
        <w:t>fizike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ndryshimet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dukshme </w:t>
      </w:r>
      <w:r w:rsidRPr="00290059">
        <w:rPr>
          <w:rFonts w:ascii="Times New Roman" w:eastAsiaTheme="minorHAnsi" w:hAnsi="Times New Roman"/>
          <w:color w:val="000000"/>
          <w:lang w:val="en-US"/>
        </w:rPr>
        <w:t>psikologjike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90059">
        <w:rPr>
          <w:rFonts w:ascii="Times New Roman" w:eastAsiaTheme="minorHAnsi" w:hAnsi="Times New Roman"/>
          <w:color w:val="000000"/>
          <w:lang w:val="en-US"/>
        </w:rPr>
        <w:t>duke kulminuar 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pjekurinë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seksuale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Adoleshenca fillon mesatarisht </w:t>
      </w:r>
      <w:r w:rsidRPr="00290059">
        <w:rPr>
          <w:rFonts w:ascii="Times New Roman" w:eastAsiaTheme="minorHAnsi" w:hAnsi="Times New Roman"/>
          <w:color w:val="000000"/>
          <w:lang w:val="en-US"/>
        </w:rPr>
        <w:t>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moshën </w:t>
      </w:r>
      <w:r w:rsidRPr="00290059">
        <w:rPr>
          <w:rFonts w:ascii="Times New Roman" w:eastAsiaTheme="minorHAnsi" w:hAnsi="Times New Roman"/>
          <w:color w:val="000000"/>
          <w:lang w:val="en-US"/>
        </w:rPr>
        <w:t>10-11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vajzat 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moshën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11-12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djemtë</w:t>
      </w:r>
      <w:r w:rsidRPr="00341670">
        <w:rPr>
          <w:rFonts w:ascii="Times New Roman" w:eastAsiaTheme="minorHAnsi" w:hAnsi="Times New Roman"/>
          <w:color w:val="000000"/>
          <w:lang w:val="en-US"/>
        </w:rPr>
        <w:t>, kjo varet nga ora biologjike e çdo individi. Fillimi i adoleshencës për ç</w:t>
      </w:r>
      <w:r w:rsidRPr="00290059">
        <w:rPr>
          <w:rFonts w:ascii="Times New Roman" w:eastAsiaTheme="minorHAnsi" w:hAnsi="Times New Roman"/>
          <w:color w:val="000000"/>
          <w:lang w:val="en-US"/>
        </w:rPr>
        <w:t>do person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është 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ndikuar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kryesisht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nga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>
        <w:rPr>
          <w:rFonts w:ascii="Times New Roman" w:eastAsiaTheme="minorHAnsi" w:hAnsi="Times New Roman"/>
          <w:color w:val="000000"/>
          <w:lang w:val="en-US"/>
        </w:rPr>
        <w:t xml:space="preserve">trashëgimia </w:t>
      </w:r>
      <w:r w:rsidRPr="00290059">
        <w:rPr>
          <w:rFonts w:ascii="Times New Roman" w:eastAsiaTheme="minorHAnsi" w:hAnsi="Times New Roman"/>
          <w:color w:val="000000"/>
          <w:lang w:val="en-US"/>
        </w:rPr>
        <w:t>gjenetike</w:t>
      </w:r>
      <w:proofErr w:type="gramStart"/>
      <w:r>
        <w:rPr>
          <w:rFonts w:ascii="Times New Roman" w:eastAsiaTheme="minorHAnsi" w:hAnsi="Times New Roman"/>
          <w:color w:val="000000"/>
          <w:lang w:val="en-US"/>
        </w:rPr>
        <w:t>,</w:t>
      </w:r>
      <w:r w:rsidRPr="00290059">
        <w:rPr>
          <w:rFonts w:ascii="Times New Roman" w:eastAsiaTheme="minorHAnsi" w:hAnsi="Times New Roman"/>
          <w:color w:val="000000"/>
          <w:lang w:val="en-US"/>
        </w:rPr>
        <w:t>faktorë</w:t>
      </w:r>
      <w:proofErr w:type="gramEnd"/>
      <w:r w:rsidRPr="00290059">
        <w:rPr>
          <w:rFonts w:ascii="Times New Roman" w:eastAsiaTheme="minorHAnsi" w:hAnsi="Times New Roman"/>
          <w:color w:val="000000"/>
          <w:lang w:val="en-US"/>
        </w:rPr>
        <w:t xml:space="preserve"> të mjedisit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stili i jetesës p.sh.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mënyra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e të ushqyerit dhe niveli i veprimtaris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</w:t>
      </w:r>
      <w:r w:rsidRPr="00290059">
        <w:rPr>
          <w:rFonts w:ascii="Times New Roman" w:eastAsiaTheme="minorHAnsi" w:hAnsi="Times New Roman"/>
          <w:color w:val="000000"/>
          <w:lang w:val="en-US"/>
        </w:rPr>
        <w:t>.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Këta faktorë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mund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kontribuojnë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një adoleshencë të hershme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ose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vonuar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</w:p>
    <w:p w14:paraId="0270B922" w14:textId="77777777" w:rsidR="00DB1493" w:rsidRPr="00290059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97B0360" w14:textId="77777777" w:rsidR="00DB1493" w:rsidRPr="00341670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Ndryshimet më të rëndësishme që vijë në periudhën e adoleshencës (zhvillimit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>
        <w:rPr>
          <w:rFonts w:ascii="Times New Roman" w:eastAsiaTheme="minorHAnsi" w:hAnsi="Times New Roman"/>
          <w:color w:val="000000"/>
          <w:lang w:val="en-US"/>
        </w:rPr>
        <w:t>pubertal)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përfshijë ndryshimet 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lartësinë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individëve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në </w:t>
      </w:r>
      <w:r w:rsidRPr="00290059">
        <w:rPr>
          <w:rFonts w:ascii="Times New Roman" w:eastAsiaTheme="minorHAnsi" w:hAnsi="Times New Roman"/>
          <w:color w:val="000000"/>
          <w:lang w:val="en-US"/>
        </w:rPr>
        <w:t>peshën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në </w:t>
      </w:r>
      <w:r w:rsidRPr="00290059">
        <w:rPr>
          <w:rFonts w:ascii="Times New Roman" w:eastAsiaTheme="minorHAnsi" w:hAnsi="Times New Roman"/>
          <w:color w:val="000000"/>
          <w:lang w:val="en-US"/>
        </w:rPr>
        <w:t>përbërjen trupore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sistemet 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qarkullimit të gjakut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frymëmarrjes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Këto ndryshime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janë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ndikuar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kryesisht nga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veprimtaria </w:t>
      </w:r>
      <w:r w:rsidRPr="00290059">
        <w:rPr>
          <w:rFonts w:ascii="Times New Roman" w:eastAsiaTheme="minorHAnsi" w:hAnsi="Times New Roman"/>
          <w:color w:val="000000"/>
          <w:lang w:val="en-US"/>
        </w:rPr>
        <w:t>hormonale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Hormonet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luajnë një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rol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organizativ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ndryshimi i tyre </w:t>
      </w:r>
      <w:r w:rsidRPr="00290059">
        <w:rPr>
          <w:rFonts w:ascii="Times New Roman" w:eastAsiaTheme="minorHAnsi" w:hAnsi="Times New Roman"/>
          <w:color w:val="000000"/>
          <w:lang w:val="en-US"/>
        </w:rPr>
        <w:t>gjatë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adoleshencës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shkakton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ndryshime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fizike dhe </w:t>
      </w:r>
      <w:r w:rsidRPr="00290059">
        <w:rPr>
          <w:rFonts w:ascii="Times New Roman" w:eastAsiaTheme="minorHAnsi" w:hAnsi="Times New Roman"/>
          <w:color w:val="000000"/>
          <w:lang w:val="en-US"/>
        </w:rPr>
        <w:t>të sjelljes tek një individ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Kjo është periudha (faza) </w:t>
      </w:r>
      <w:r w:rsidRPr="00290059">
        <w:rPr>
          <w:rFonts w:ascii="Times New Roman" w:eastAsiaTheme="minorHAnsi" w:hAnsi="Times New Roman"/>
          <w:color w:val="000000"/>
          <w:lang w:val="en-US"/>
        </w:rPr>
        <w:t>e jetës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në të cilën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fëmija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zhvillon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karakteristika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 xml:space="preserve">individuale 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</w:t>
      </w:r>
      <w:proofErr w:type="gramEnd"/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shembull,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një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zë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 të thellë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dhe dalja e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“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mollës së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Adamit” tek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djemtë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zhvillimi 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gjinjve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i vitheve </w:t>
      </w:r>
      <w:r w:rsidRPr="00290059">
        <w:rPr>
          <w:rFonts w:ascii="Times New Roman" w:eastAsiaTheme="minorHAnsi" w:hAnsi="Times New Roman"/>
          <w:color w:val="000000"/>
          <w:lang w:val="en-US"/>
        </w:rPr>
        <w:t>më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lakuara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dukshme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tek </w:t>
      </w:r>
      <w:r w:rsidRPr="00290059">
        <w:rPr>
          <w:rFonts w:ascii="Times New Roman" w:eastAsiaTheme="minorHAnsi" w:hAnsi="Times New Roman"/>
          <w:color w:val="000000"/>
          <w:lang w:val="en-US"/>
        </w:rPr>
        <w:t>vajzat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Fillojnë të shfaqen qimet e pra në fytyrë tek djemtë dhe në pjesë të tjera intime tek djemtë e vajzat.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3F3D524B" w14:textId="77777777" w:rsidR="00DB1493" w:rsidRPr="00290059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E8ADE9D" w14:textId="77777777" w:rsidR="00DB1493" w:rsidRPr="00341670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Periudha e adoleshencës (pubertetit) sjell ndryshime të rëndësishme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psikologjike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sociale tek të rinjtë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Djemtë të cilët janë më të pjekur e më të zhvilluar se të tjerët, zakonisht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 xml:space="preserve">më 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shtatlartë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 të fortë se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miqtë e tyre,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kanë përparësi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në tërheqjen 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vëmendjes së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bashkëmoshatarëve dhe mundësi më të mira për tu aktivizuar me sport.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D</w:t>
      </w:r>
      <w:r w:rsidRPr="00290059">
        <w:rPr>
          <w:rFonts w:ascii="Times New Roman" w:eastAsiaTheme="minorHAnsi" w:hAnsi="Times New Roman"/>
          <w:color w:val="000000"/>
          <w:lang w:val="en-US"/>
        </w:rPr>
        <w:t>jemtë adoleshentë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shpesh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kanë tendencë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që të ketë një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imazh të mirë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trupit të tyre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90059">
        <w:rPr>
          <w:rFonts w:ascii="Times New Roman" w:eastAsiaTheme="minorHAnsi" w:hAnsi="Times New Roman"/>
          <w:color w:val="000000"/>
          <w:lang w:val="en-US"/>
        </w:rPr>
        <w:t>janë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 të sigurt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 të pavarur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Individ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t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adoleshentë më pak të zhvilluar mund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jenë më pak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sigurt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shkak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imazhit të varfër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trupit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kur krahasojmë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veten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shokët </w:t>
      </w:r>
      <w:r w:rsidRPr="00290059">
        <w:rPr>
          <w:rFonts w:ascii="Times New Roman" w:eastAsiaTheme="minorHAnsi" w:hAnsi="Times New Roman"/>
          <w:color w:val="000000"/>
          <w:lang w:val="en-US"/>
        </w:rPr>
        <w:t>tashmë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më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të zhvilluar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më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pjesëmarrës e popullorë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Një ndihmë shumë të madhe në rregullimin e këtij problemi jep aktivizimi me sport, pasi sporti jo vetëm ndihmon në zhvillimin fizik të të rinjve, por ndihmon në formimin e shoqërisë, fitimin e besimit, kontrollit dhe sigurisë. 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Megjithatë</w:t>
      </w:r>
      <w:r w:rsidRPr="00341670">
        <w:rPr>
          <w:rFonts w:ascii="Times New Roman" w:eastAsiaTheme="minorHAnsi" w:hAnsi="Times New Roman"/>
          <w:color w:val="000000"/>
          <w:lang w:val="en-US"/>
        </w:rPr>
        <w:t>, fillimi i periudhës së adoleshencës (</w:t>
      </w:r>
      <w:r w:rsidRPr="00290059">
        <w:rPr>
          <w:rFonts w:ascii="Times New Roman" w:eastAsiaTheme="minorHAnsi" w:hAnsi="Times New Roman"/>
          <w:color w:val="000000"/>
          <w:lang w:val="en-US"/>
        </w:rPr>
        <w:t>pubertetit)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nuk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është gjithmonë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pozitiv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djemtë.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P</w:t>
      </w:r>
      <w:r w:rsidRPr="00290059">
        <w:rPr>
          <w:rFonts w:ascii="Times New Roman" w:eastAsiaTheme="minorHAnsi" w:hAnsi="Times New Roman"/>
          <w:color w:val="000000"/>
          <w:lang w:val="en-US"/>
        </w:rPr>
        <w:t>jekuria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e hershme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tek djemtë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mund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shoqërohet 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rritjen 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agresivitetit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shkak të shtimit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hormoneve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që ndikojnë në ta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për faktin </w:t>
      </w:r>
      <w:r w:rsidRPr="00290059">
        <w:rPr>
          <w:rFonts w:ascii="Times New Roman" w:eastAsiaTheme="minorHAnsi" w:hAnsi="Times New Roman"/>
          <w:color w:val="000000"/>
          <w:lang w:val="en-US"/>
        </w:rPr>
        <w:t>se ata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duken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 të mëdhenj se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moshatarët e tyre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S</w:t>
      </w:r>
      <w:r w:rsidRPr="00290059">
        <w:rPr>
          <w:rFonts w:ascii="Times New Roman" w:eastAsiaTheme="minorHAnsi" w:hAnsi="Times New Roman"/>
          <w:color w:val="000000"/>
          <w:lang w:val="en-US"/>
        </w:rPr>
        <w:t>hoqëria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mund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t’i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shohë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 të avancuar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90059">
        <w:rPr>
          <w:rFonts w:ascii="Times New Roman" w:eastAsiaTheme="minorHAnsi" w:hAnsi="Times New Roman"/>
          <w:color w:val="000000"/>
          <w:lang w:val="en-US"/>
        </w:rPr>
        <w:t>pavarësisht nga fakti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zhvillimi i tyre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mendor </w:t>
      </w:r>
      <w:r w:rsidRPr="00290059">
        <w:rPr>
          <w:rFonts w:ascii="Times New Roman" w:eastAsiaTheme="minorHAnsi" w:hAnsi="Times New Roman"/>
          <w:color w:val="000000"/>
          <w:lang w:val="en-US"/>
        </w:rPr>
        <w:t>dhe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social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mund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mos i korrespondojë pamjes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 </w:t>
      </w:r>
    </w:p>
    <w:p w14:paraId="208AFEEF" w14:textId="77777777" w:rsidR="00DB1493" w:rsidRPr="00290059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F62DEC2" w14:textId="77777777" w:rsidR="00DB1493" w:rsidRPr="00341670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Për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vajzat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90059">
        <w:rPr>
          <w:rFonts w:ascii="Times New Roman" w:eastAsiaTheme="minorHAnsi" w:hAnsi="Times New Roman"/>
          <w:color w:val="000000"/>
          <w:lang w:val="en-US"/>
        </w:rPr>
        <w:t>pjekuria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e hershme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ndonjëherë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mund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çojë në rritjen 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vetë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dijes (përgjegjshmërisë), </w:t>
      </w:r>
      <w:r w:rsidRPr="00290059">
        <w:rPr>
          <w:rFonts w:ascii="Times New Roman" w:eastAsiaTheme="minorHAnsi" w:hAnsi="Times New Roman"/>
          <w:color w:val="000000"/>
          <w:lang w:val="en-US"/>
        </w:rPr>
        <w:t>edhe pse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vetëdija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është një </w:t>
      </w:r>
      <w:r w:rsidRPr="00290059">
        <w:rPr>
          <w:rFonts w:ascii="Times New Roman" w:eastAsiaTheme="minorHAnsi" w:hAnsi="Times New Roman"/>
          <w:color w:val="000000"/>
          <w:lang w:val="en-US"/>
        </w:rPr>
        <w:t>aspekt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tipik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tek vajzat.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shkak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zhvillimit trupor të </w:t>
      </w:r>
      <w:r w:rsidRPr="00341670">
        <w:rPr>
          <w:rFonts w:ascii="Times New Roman" w:eastAsiaTheme="minorHAnsi" w:hAnsi="Times New Roman"/>
          <w:color w:val="000000"/>
          <w:lang w:val="en-US"/>
        </w:rPr>
        <w:t>menjëhershëm dhe më të përshpejtuar se djemtë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 xml:space="preserve">,  </w:t>
      </w:r>
      <w:r w:rsidRPr="00290059">
        <w:rPr>
          <w:rFonts w:ascii="Times New Roman" w:eastAsiaTheme="minorHAnsi" w:hAnsi="Times New Roman"/>
          <w:color w:val="000000"/>
          <w:lang w:val="en-US"/>
        </w:rPr>
        <w:t>vajzat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adoleshente </w:t>
      </w:r>
      <w:r w:rsidRPr="00290059">
        <w:rPr>
          <w:rFonts w:ascii="Times New Roman" w:eastAsiaTheme="minorHAnsi" w:hAnsi="Times New Roman"/>
          <w:color w:val="000000"/>
          <w:lang w:val="en-US"/>
        </w:rPr>
        <w:t>mund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bëhen më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pasigurt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a. </w:t>
      </w:r>
      <w:r w:rsidRPr="00290059">
        <w:rPr>
          <w:rFonts w:ascii="Times New Roman" w:eastAsiaTheme="minorHAnsi" w:hAnsi="Times New Roman"/>
          <w:color w:val="000000"/>
          <w:lang w:val="en-US"/>
        </w:rPr>
        <w:t>Si pasojë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90059">
        <w:rPr>
          <w:rFonts w:ascii="Times New Roman" w:eastAsiaTheme="minorHAnsi" w:hAnsi="Times New Roman"/>
          <w:color w:val="000000"/>
          <w:lang w:val="en-US"/>
        </w:rPr>
        <w:t>vajzat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që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arrijnë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pjekurinë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më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 xml:space="preserve"> shpejtë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kanë më shumë gjasa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se ​​</w:t>
      </w: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t>sa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moshatarët e tyre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të zhvilluar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çrregullime të të ushqyerit dhe shfaqen e formave të anoreksisë apo bulimisë</w:t>
      </w:r>
      <w:r w:rsidRPr="00341670">
        <w:rPr>
          <w:rFonts w:ascii="Times New Roman" w:eastAsiaTheme="minorHAnsi" w:hAnsi="Times New Roman"/>
          <w:color w:val="000000"/>
          <w:lang w:val="en-US"/>
        </w:rPr>
        <w:t>. Pjesa me e madhe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 vajzave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shkollave të mesme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në USA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për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humbur peshë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përgjysmojnë dietën ushqimore ditore të tyre, duke provokuar në organizmin e tyre çrregullime të r</w:t>
      </w:r>
      <w:r>
        <w:rPr>
          <w:rFonts w:ascii="Times New Roman" w:eastAsiaTheme="minorHAnsi" w:hAnsi="Times New Roman"/>
          <w:color w:val="000000"/>
          <w:rtl/>
          <w:lang w:val="en-US" w:bidi="ar-YE"/>
        </w:rPr>
        <w:t>rezikshmer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Përveç kësaj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</w:t>
      </w:r>
      <w:r w:rsidRPr="00290059">
        <w:rPr>
          <w:rFonts w:ascii="Times New Roman" w:eastAsiaTheme="minorHAnsi" w:hAnsi="Times New Roman"/>
          <w:color w:val="000000"/>
          <w:lang w:val="en-US"/>
        </w:rPr>
        <w:t>vajzat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mund përballen dhe me një pjekje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seksuale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më të avancuar se sa </w:t>
      </w:r>
      <w:r w:rsidRPr="00290059">
        <w:rPr>
          <w:rFonts w:ascii="Times New Roman" w:eastAsiaTheme="minorHAnsi" w:hAnsi="Times New Roman"/>
          <w:color w:val="000000"/>
          <w:rtl/>
          <w:lang w:val="en-US" w:bidi="ar-YE"/>
        </w:rPr>
        <w:t>djemtë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moshatarë, duke i bërë ato më të pjekura nga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ana  mendore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emocionale. </w:t>
      </w:r>
    </w:p>
    <w:p w14:paraId="5F087A56" w14:textId="77777777" w:rsidR="00DB1493" w:rsidRPr="00290059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34A287B" w14:textId="77777777" w:rsidR="00DB1493" w:rsidRPr="00290059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290059">
        <w:rPr>
          <w:rFonts w:ascii="Times New Roman" w:eastAsiaTheme="minorHAnsi" w:hAnsi="Times New Roman"/>
          <w:color w:val="000000"/>
          <w:lang w:val="en-US"/>
        </w:rPr>
        <w:lastRenderedPageBreak/>
        <w:t>Vajzat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adoleshente </w:t>
      </w:r>
      <w:r w:rsidRPr="00290059">
        <w:rPr>
          <w:rFonts w:ascii="Times New Roman" w:eastAsiaTheme="minorHAnsi" w:hAnsi="Times New Roman"/>
          <w:color w:val="000000"/>
          <w:lang w:val="en-US"/>
        </w:rPr>
        <w:t>zakonisht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kanë arritur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zhvillimin e plotë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fizik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nga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moshat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15-17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ndërsa </w:t>
      </w:r>
      <w:r w:rsidRPr="00290059">
        <w:rPr>
          <w:rFonts w:ascii="Times New Roman" w:eastAsiaTheme="minorHAnsi" w:hAnsi="Times New Roman"/>
          <w:color w:val="000000"/>
          <w:lang w:val="en-US"/>
        </w:rPr>
        <w:t>djemtë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adoleshentë </w:t>
      </w:r>
      <w:r w:rsidRPr="00290059">
        <w:rPr>
          <w:rFonts w:ascii="Times New Roman" w:eastAsiaTheme="minorHAnsi" w:hAnsi="Times New Roman"/>
          <w:color w:val="000000"/>
          <w:lang w:val="en-US"/>
        </w:rPr>
        <w:t>nga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mosha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16-17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Çdo rritje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lartësi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përtej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moshës </w:t>
      </w:r>
      <w:r w:rsidRPr="00290059">
        <w:rPr>
          <w:rFonts w:ascii="Times New Roman" w:eastAsiaTheme="minorHAnsi" w:hAnsi="Times New Roman"/>
          <w:color w:val="000000"/>
          <w:lang w:val="en-US"/>
        </w:rPr>
        <w:t>post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pubertale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është e pazakontë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. </w:t>
      </w:r>
      <w:r w:rsidRPr="00290059">
        <w:rPr>
          <w:rFonts w:ascii="Times New Roman" w:eastAsiaTheme="minorHAnsi" w:hAnsi="Times New Roman"/>
          <w:color w:val="000000"/>
          <w:lang w:val="en-US"/>
        </w:rPr>
        <w:t>Vajzat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arrijnë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pjekurinë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rreth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4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vjet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pas shfaqjes se ndryshimeve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para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fizike 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pubertetit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ndërsa </w:t>
      </w:r>
      <w:r w:rsidRPr="00290059">
        <w:rPr>
          <w:rFonts w:ascii="Times New Roman" w:eastAsiaTheme="minorHAnsi" w:hAnsi="Times New Roman"/>
          <w:color w:val="000000"/>
          <w:lang w:val="en-US"/>
        </w:rPr>
        <w:t>djemtë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avancojnë </w:t>
      </w:r>
      <w:r w:rsidRPr="00290059">
        <w:rPr>
          <w:rFonts w:ascii="Times New Roman" w:eastAsiaTheme="minorHAnsi" w:hAnsi="Times New Roman"/>
          <w:color w:val="000000"/>
          <w:lang w:val="en-US"/>
        </w:rPr>
        <w:t>më ngadalë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, por </w:t>
      </w:r>
      <w:r w:rsidRPr="00290059">
        <w:rPr>
          <w:rFonts w:ascii="Times New Roman" w:eastAsiaTheme="minorHAnsi" w:hAnsi="Times New Roman"/>
          <w:color w:val="000000"/>
          <w:lang w:val="en-US"/>
        </w:rPr>
        <w:t>vazhdojnë të rriten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për rreth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6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vjet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pas shfaqjes së ndryshimeve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të para të pubertetit.</w:t>
      </w:r>
    </w:p>
    <w:p w14:paraId="2EFFDE76" w14:textId="77777777" w:rsidR="00DB1493" w:rsidRPr="00290059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9061E4C" w14:textId="77777777" w:rsidR="00DB1493" w:rsidRDefault="00DB1493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5AD3834A" w14:textId="77777777" w:rsidR="009C6E71" w:rsidRDefault="009C6E71" w:rsidP="00DB1493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0"/>
        <w:gridCol w:w="2340"/>
        <w:gridCol w:w="1620"/>
        <w:gridCol w:w="1944"/>
      </w:tblGrid>
      <w:tr w:rsidR="00DB1493" w:rsidRPr="00296800" w14:paraId="0379B5D9" w14:textId="77777777" w:rsidTr="009F294E">
        <w:trPr>
          <w:trHeight w:val="298"/>
        </w:trPr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C523BF" w14:textId="77777777" w:rsidR="00DB1493" w:rsidRPr="00296800" w:rsidRDefault="00DB149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F943EF" w14:textId="77777777" w:rsidR="00DB1493" w:rsidRPr="00296800" w:rsidRDefault="00DB149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AFF0E2" w14:textId="77777777" w:rsidR="00DB1493" w:rsidRPr="00296800" w:rsidRDefault="00DB149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B8C567" w14:textId="77777777" w:rsidR="00DB1493" w:rsidRPr="00296800" w:rsidRDefault="00DB1493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DB1493" w:rsidRPr="00341670" w14:paraId="5397CC6B" w14:textId="77777777" w:rsidTr="009F294E">
        <w:trPr>
          <w:trHeight w:val="72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1E680" w14:textId="634B92CD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Adol</w:t>
            </w:r>
            <w:r w:rsidR="009C6E7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eshenca dhe diferencat gjinore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49DD5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DB1493" w:rsidRPr="00341670" w14:paraId="36B644D7" w14:textId="77777777" w:rsidTr="009F294E">
        <w:trPr>
          <w:trHeight w:val="168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0F20" w14:textId="77777777" w:rsidR="00DB1493" w:rsidRPr="00D21E9D" w:rsidRDefault="00DB1493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2872E178" w14:textId="77777777" w:rsidR="00DB1493" w:rsidRPr="00AA0744" w:rsidRDefault="00DB1493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A407DD4" w14:textId="77777777" w:rsidR="00DB1493" w:rsidRPr="006F42D7" w:rsidRDefault="00DB1493" w:rsidP="00DB149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Njeh dhe argumenton dallimet gjinore referuar zhvillimit fizik         dhe emocional.</w:t>
            </w:r>
          </w:p>
          <w:p w14:paraId="77280D0F" w14:textId="77777777" w:rsidR="00DB1493" w:rsidRPr="006F42D7" w:rsidRDefault="00DB1493" w:rsidP="00DB149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Identifikon ndryshimet trupore që fillojnë me adoleshëncën.</w:t>
            </w:r>
          </w:p>
          <w:p w14:paraId="5689F547" w14:textId="77777777" w:rsidR="00DB1493" w:rsidRPr="006F42D7" w:rsidRDefault="00DB1493" w:rsidP="00DB1493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F42D7">
              <w:rPr>
                <w:rFonts w:ascii="Times New Roman" w:eastAsiaTheme="minorHAnsi" w:hAnsi="Times New Roman"/>
                <w:color w:val="000000"/>
                <w:lang w:val="en-US"/>
              </w:rPr>
              <w:t>Identifikon dallimet gjinore që fillojnë me adoleshencën.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39650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9FA35A9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Adoleshencë</w:t>
            </w:r>
          </w:p>
          <w:p w14:paraId="5EE94984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Dallime gjinore </w:t>
            </w:r>
          </w:p>
        </w:tc>
      </w:tr>
      <w:tr w:rsidR="00DB1493" w:rsidRPr="00341670" w14:paraId="3D770265" w14:textId="77777777" w:rsidTr="009F294E">
        <w:trPr>
          <w:trHeight w:val="91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BB790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A3DBF6A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nxnësit, programi, udhëzuesi i mësuesit dhe literaturë ndihmëse.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536DF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Shkencat shoqërore, Gjuhën dhe komunikimin</w:t>
            </w:r>
          </w:p>
        </w:tc>
      </w:tr>
      <w:tr w:rsidR="00DB1493" w:rsidRPr="00341670" w14:paraId="3A19C002" w14:textId="77777777" w:rsidTr="009F294E">
        <w:trPr>
          <w:trHeight w:val="41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C06C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DB1493" w:rsidRPr="00341670" w14:paraId="1646256E" w14:textId="77777777" w:rsidTr="009F294E">
        <w:trPr>
          <w:trHeight w:val="3114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DF3A" w14:textId="77777777" w:rsidR="00DB1493" w:rsidRPr="00AD68D5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bën pyetjen: Përse është e rëndësishme të përcaktojmë identitetin gjinor? Ai e drejton këtë pyetje tek nxnësit dhe provokon një diskutim rreth saj.</w:t>
            </w:r>
          </w:p>
          <w:p w14:paraId="426B6706" w14:textId="77777777" w:rsidR="00DB1493" w:rsidRPr="00AD68D5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fillon të shpjegojë kuptimin e adoleshencës dhe me shembuj konkret,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si dhe të prezantojë ndryshimet e dukshme trupore që fillojnë me këtë fazë të zhvillimit të njeriut.</w:t>
            </w:r>
          </w:p>
          <w:p w14:paraId="2D5C1870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tretë: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drejton nxnësit të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reflektojnë rreth fotove në tekstin e nxënësit dhe të diskutojnë rreth marrëdhënieve midis: </w:t>
            </w:r>
          </w:p>
          <w:p w14:paraId="41225090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Dy shoqeve ose dy motrave</w:t>
            </w:r>
          </w:p>
          <w:p w14:paraId="5C796FEA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Dy shokëve ose dy vëllezërve</w:t>
            </w:r>
          </w:p>
          <w:p w14:paraId="39C7486A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Një shoku dhe një shoqe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ose një motre dhe një vëllai</w:t>
            </w:r>
          </w:p>
          <w:p w14:paraId="2D31CD45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Ku qëndron e përbashkëta dhe ndryshimi midis tyre.</w:t>
            </w:r>
          </w:p>
          <w:p w14:paraId="6A9CA3D5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DB1493" w:rsidRPr="00341670" w14:paraId="1880755E" w14:textId="77777777" w:rsidTr="009F294E">
        <w:trPr>
          <w:trHeight w:val="155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BAE4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2F0C6CB5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0AB33838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r dukuritë pozitive të shfaqura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gjatë di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s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kutimit (respektimi mendimit të shokëve, rradhës së diskutimit, pjesmarrja aktive në diskutim, etj.) </w:t>
            </w:r>
          </w:p>
        </w:tc>
      </w:tr>
      <w:tr w:rsidR="00DB1493" w:rsidRPr="00341670" w14:paraId="4BEB5873" w14:textId="77777777" w:rsidTr="009F294E">
        <w:trPr>
          <w:trHeight w:val="123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35365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fle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toren e detyrave nxënësit duhet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të shkruajnë një përmbledhje              të shkurtër rreth:</w:t>
            </w:r>
          </w:p>
          <w:p w14:paraId="4D42FEAA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“Ajo që më pëlqen tek vetja ime (si vajzë ose si djalë)”</w:t>
            </w:r>
          </w:p>
          <w:p w14:paraId="1E30A9B5" w14:textId="77777777" w:rsidR="00DB1493" w:rsidRPr="00341670" w:rsidRDefault="00DB1493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Si e kuptojnë shprehjen: “Një djalë dhe një vajzë janë të ngjashëm aq sa janë të ndryshëm”?</w:t>
            </w:r>
          </w:p>
        </w:tc>
      </w:tr>
    </w:tbl>
    <w:p w14:paraId="313B0DD1" w14:textId="43B7D5AD" w:rsidR="00341670" w:rsidRPr="00DB1493" w:rsidRDefault="00341670" w:rsidP="00DB1493"/>
    <w:sectPr w:rsidR="00341670" w:rsidRPr="00DB1493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266E"/>
    <w:rsid w:val="00965B7E"/>
    <w:rsid w:val="00975BE0"/>
    <w:rsid w:val="009916D9"/>
    <w:rsid w:val="009C6E71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1493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27CF1B-15BE-5E48-8A13-B3EDD3F3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936</Words>
  <Characters>5338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129</cp:revision>
  <dcterms:created xsi:type="dcterms:W3CDTF">2015-09-14T13:31:00Z</dcterms:created>
  <dcterms:modified xsi:type="dcterms:W3CDTF">2017-09-12T13:00:00Z</dcterms:modified>
</cp:coreProperties>
</file>