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E9D50" w14:textId="40146D9A" w:rsidR="00EA719A" w:rsidRPr="00A15CF6" w:rsidRDefault="00EA719A" w:rsidP="00EA719A">
      <w:pPr>
        <w:widowControl w:val="0"/>
        <w:tabs>
          <w:tab w:val="left" w:pos="2655"/>
        </w:tabs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AE197A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2.4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Lëndimet që vijnë si pasojë e përplasjes me një objekt të fortë- Shembjet (kontuzioni lokal)</w:t>
      </w:r>
    </w:p>
    <w:p w14:paraId="79C5FC85" w14:textId="77777777" w:rsidR="00EA719A" w:rsidRPr="00B66420" w:rsidRDefault="00EA719A" w:rsidP="00EA719A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76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3060"/>
        <w:gridCol w:w="1890"/>
        <w:gridCol w:w="1756"/>
      </w:tblGrid>
      <w:tr w:rsidR="00EA719A" w:rsidRPr="00A15CF6" w14:paraId="4893B81F" w14:textId="77777777" w:rsidTr="009F294E">
        <w:trPr>
          <w:trHeight w:val="298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758130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Fusha: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E9E67B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93BC092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3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4576A3F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7</w:t>
            </w:r>
          </w:p>
        </w:tc>
      </w:tr>
      <w:tr w:rsidR="00EA719A" w:rsidRPr="00A15CF6" w14:paraId="1DD5EE14" w14:textId="77777777" w:rsidTr="009F294E">
        <w:trPr>
          <w:trHeight w:val="637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0B50CE" w14:textId="0A4E1228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Lëndimet që vijnë si pasojë e përplasjes me një objekt të </w:t>
            </w:r>
            <w:r w:rsidR="00BA4F6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forte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- Shembjet (kontuzioni lokal)</w:t>
            </w:r>
          </w:p>
        </w:tc>
        <w:tc>
          <w:tcPr>
            <w:tcW w:w="3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27DCFB" w14:textId="77777777" w:rsidR="00EA719A" w:rsidRPr="00A15CF6" w:rsidRDefault="00EA719A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23556379" w14:textId="77777777" w:rsidR="00EA719A" w:rsidRPr="00A15CF6" w:rsidRDefault="00EA719A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EA719A" w:rsidRPr="00A15CF6" w14:paraId="6B8E7DFB" w14:textId="77777777" w:rsidTr="009F294E">
        <w:trPr>
          <w:trHeight w:val="1457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1B35EE" w14:textId="77777777" w:rsidR="00EA719A" w:rsidRPr="00D21E9D" w:rsidRDefault="00EA719A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35F0BBEF" w14:textId="77777777" w:rsidR="00EA719A" w:rsidRPr="00AA0744" w:rsidRDefault="00EA719A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6F669CCF" w14:textId="1A83F904" w:rsidR="00EA719A" w:rsidRPr="006C1A55" w:rsidRDefault="00EA719A" w:rsidP="00EA719A">
            <w:pPr>
              <w:pStyle w:val="ListParagraph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Identifikon “shembjen” (kontuzionin lokal), si një nga format e lëndimeve që mund të ndodhë gjatë të ushtruarit me veprimtari fizike</w:t>
            </w:r>
            <w:r w:rsidR="00D80FFE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4E9A9AFF" w14:textId="77777777" w:rsidR="00EA719A" w:rsidRPr="006C1A55" w:rsidRDefault="00EA719A" w:rsidP="00EA719A">
            <w:pPr>
              <w:pStyle w:val="ListParagraph"/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Identifikon shenjat e jashtëme të “shembjes” (kontuzionin lokal) dhe shkaktarët e saj.</w:t>
            </w:r>
          </w:p>
        </w:tc>
        <w:tc>
          <w:tcPr>
            <w:tcW w:w="3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3914C3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54DE3470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222222"/>
                <w:lang w:val="en-US"/>
              </w:rPr>
              <w:t>Shembje (kontuzion lokal), muskul i dëmtuar, nxirje (hematomë), enjtje.</w:t>
            </w:r>
          </w:p>
        </w:tc>
      </w:tr>
      <w:tr w:rsidR="00EA719A" w:rsidRPr="00A15CF6" w14:paraId="10908BDA" w14:textId="77777777" w:rsidTr="009F294E">
        <w:trPr>
          <w:trHeight w:val="880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840975" w14:textId="77777777" w:rsidR="00EA719A" w:rsidRPr="00FE564C" w:rsidRDefault="00EA719A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686BB055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nësit (tekst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simor), programi, udhëzuesi i mësuesit dhe literaturë ndihmëse.</w:t>
            </w:r>
          </w:p>
        </w:tc>
        <w:tc>
          <w:tcPr>
            <w:tcW w:w="3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589D20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CD00B8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Shkencat natyrore, Gjuhën dhe komunikimin</w:t>
            </w:r>
          </w:p>
        </w:tc>
      </w:tr>
      <w:tr w:rsidR="00EA719A" w:rsidRPr="00A15CF6" w14:paraId="22F149D3" w14:textId="77777777" w:rsidTr="009F294E">
        <w:trPr>
          <w:trHeight w:val="298"/>
        </w:trPr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451D8A7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EA719A" w:rsidRPr="00A15CF6" w14:paraId="77B73B42" w14:textId="77777777" w:rsidTr="009F294E">
        <w:trPr>
          <w:trHeight w:val="972"/>
        </w:trPr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A9DE40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të diskutojnë mbi:</w:t>
            </w:r>
          </w:p>
          <w:p w14:paraId="18BFF260" w14:textId="77777777" w:rsidR="00EA719A" w:rsidRPr="006C1A55" w:rsidRDefault="00EA719A" w:rsidP="00EA719A">
            <w:pPr>
              <w:pStyle w:val="ListParagraph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Raste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l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ndimeve pas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rplasjes me nj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ubjekt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fort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gjat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kryerjes 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veprimtaris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fizike:</w:t>
            </w:r>
          </w:p>
          <w:p w14:paraId="16C21E66" w14:textId="77777777" w:rsidR="00EA719A" w:rsidRPr="006C1A55" w:rsidRDefault="00EA719A" w:rsidP="00EA719A">
            <w:pPr>
              <w:pStyle w:val="ListParagraph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Cilat kan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qen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shenjat dhe l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ndimet q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kan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ardhur si pasoj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?</w:t>
            </w:r>
          </w:p>
          <w:p w14:paraId="3014FA82" w14:textId="77777777" w:rsidR="00EA719A" w:rsidRPr="006C1A55" w:rsidRDefault="00EA719A" w:rsidP="00EA719A">
            <w:pPr>
              <w:pStyle w:val="ListParagraph"/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Si 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vepruar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minimizimin e pasojave?</w:t>
            </w:r>
          </w:p>
          <w:p w14:paraId="2FDB23B2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fillon të shpjegojë me shembuj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rreth:</w:t>
            </w:r>
          </w:p>
          <w:p w14:paraId="04F52EAC" w14:textId="1BE06ACD" w:rsidR="00EA719A" w:rsidRPr="006C1A55" w:rsidRDefault="00EA719A" w:rsidP="00EA719A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Shembjes, termi p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gjuh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 mjek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sore 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Kontuzion </w:t>
            </w:r>
            <w:r w:rsidR="00D80FFE">
              <w:rPr>
                <w:rFonts w:ascii="Times New Roman" w:eastAsiaTheme="minorHAnsi" w:hAnsi="Times New Roman"/>
                <w:color w:val="000000"/>
                <w:lang w:val="en-GB"/>
              </w:rPr>
              <w:t>local;</w:t>
            </w:r>
          </w:p>
          <w:p w14:paraId="4D0C2924" w14:textId="0B6DF392" w:rsidR="00EA719A" w:rsidRPr="006C1A55" w:rsidRDefault="00EA719A" w:rsidP="00EA719A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Shenjave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jasht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me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tij</w:t>
            </w:r>
            <w:r w:rsidR="00D80FFE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66932DCE" w14:textId="0DBECD78" w:rsidR="00EA719A" w:rsidRPr="006C1A55" w:rsidRDefault="00EA719A" w:rsidP="00EA719A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Rasteve m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shpeshta n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cilat ky l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ndim mund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ndodh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="00D80FFE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37512EF9" w14:textId="77777777" w:rsidR="00EA719A" w:rsidRPr="006C1A55" w:rsidRDefault="00EA719A" w:rsidP="00EA719A">
            <w:pPr>
              <w:pStyle w:val="ListParagraph"/>
              <w:widowControl w:val="0"/>
              <w:numPr>
                <w:ilvl w:val="0"/>
                <w:numId w:val="25"/>
              </w:numPr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Pasojat afat-shkurt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>ra dhe afatgjata t</w:t>
            </w:r>
            <w:r w:rsidRPr="006C1A55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6C1A55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tij.</w:t>
            </w:r>
          </w:p>
          <w:p w14:paraId="4083D8F4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nxënësit në një një diskutim rreth njohurive të marra gjatë orës së mësimit.</w:t>
            </w:r>
          </w:p>
          <w:p w14:paraId="1D26E1F5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suesi duhet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tregohet i kujdessh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 dhe ndihmues, p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siguruar q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çdo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shprehet lirsh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 mbi at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çka mendon.</w:t>
            </w:r>
          </w:p>
        </w:tc>
      </w:tr>
      <w:tr w:rsidR="00EA719A" w:rsidRPr="00A15CF6" w14:paraId="78B28E45" w14:textId="77777777" w:rsidTr="009F294E">
        <w:trPr>
          <w:trHeight w:val="1233"/>
        </w:trPr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694937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212A8EBC" w14:textId="6BDD388D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et.)</w:t>
            </w:r>
            <w:r w:rsidR="00D80FFE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EA719A" w:rsidRPr="00A15CF6" w14:paraId="2E5B8AB8" w14:textId="77777777" w:rsidTr="009F294E">
        <w:trPr>
          <w:trHeight w:val="298"/>
        </w:trPr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08F44F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739175A7" w14:textId="77777777" w:rsidR="00EA719A" w:rsidRPr="00A15CF6" w:rsidRDefault="00EA719A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Nxnënsit duhet të zbulojnë më tepër nga prindërit, libra të ndryshëm apo interneti, mbi shembjen (kontuzionin lokal).  </w:t>
            </w:r>
          </w:p>
        </w:tc>
      </w:tr>
    </w:tbl>
    <w:p w14:paraId="754C5606" w14:textId="77777777" w:rsidR="00B66420" w:rsidRPr="00EA719A" w:rsidRDefault="00B66420" w:rsidP="00EA719A"/>
    <w:sectPr w:rsidR="00B66420" w:rsidRPr="00EA719A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6CD9"/>
    <w:rsid w:val="004F14DF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AE197A"/>
    <w:rsid w:val="00B00496"/>
    <w:rsid w:val="00B5200D"/>
    <w:rsid w:val="00B62E79"/>
    <w:rsid w:val="00B66420"/>
    <w:rsid w:val="00B90019"/>
    <w:rsid w:val="00BA4F6D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0FFE"/>
    <w:rsid w:val="00D8122C"/>
    <w:rsid w:val="00D82F29"/>
    <w:rsid w:val="00D8726E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071B88-F9DB-D942-8D0F-B693642D9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344</Words>
  <Characters>1961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164</cp:revision>
  <dcterms:created xsi:type="dcterms:W3CDTF">2015-09-14T13:31:00Z</dcterms:created>
  <dcterms:modified xsi:type="dcterms:W3CDTF">2017-09-12T13:04:00Z</dcterms:modified>
</cp:coreProperties>
</file>