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3A019" w14:textId="77777777" w:rsidR="00450FC0" w:rsidRPr="00A15CF6" w:rsidRDefault="00450FC0" w:rsidP="00450FC0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3F066D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4.4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: Rëndësia e vaksinimit </w:t>
      </w:r>
      <w:r w:rsidR="005E450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P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ë</w:t>
      </w:r>
      <w:r w:rsidR="005E450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R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 shëndetin e njeriut</w:t>
      </w:r>
    </w:p>
    <w:p w14:paraId="65D1BD57" w14:textId="77777777" w:rsidR="00450FC0" w:rsidRPr="00B66420" w:rsidRDefault="00450FC0" w:rsidP="00450FC0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69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2880"/>
        <w:gridCol w:w="1350"/>
        <w:gridCol w:w="2310"/>
      </w:tblGrid>
      <w:tr w:rsidR="00450FC0" w:rsidRPr="00A15CF6" w14:paraId="704AE2F7" w14:textId="77777777" w:rsidTr="009F294E">
        <w:trPr>
          <w:trHeight w:val="29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599FC7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  Edukim fizik, sporte dhe shëndet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5361B9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D8B42C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84DE24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7</w:t>
            </w:r>
          </w:p>
        </w:tc>
      </w:tr>
      <w:tr w:rsidR="00450FC0" w:rsidRPr="00A15CF6" w14:paraId="3B2B6ABD" w14:textId="77777777" w:rsidTr="009F294E">
        <w:trPr>
          <w:trHeight w:val="502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F22069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Rëndësia e </w:t>
            </w:r>
            <w:r w:rsidR="005E4506">
              <w:rPr>
                <w:rFonts w:ascii="Times New Roman" w:eastAsiaTheme="minorHAnsi" w:hAnsi="Times New Roman"/>
                <w:color w:val="000000"/>
                <w:lang w:val="en-GB"/>
              </w:rPr>
              <w:t>vaksinimit p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ë</w:t>
            </w:r>
            <w:r w:rsidR="005E450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shëndetin e njeriut</w:t>
            </w:r>
            <w:r w:rsidR="00F34E68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  <w:p w14:paraId="7AD2073A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6C26EB" w14:textId="77777777" w:rsidR="00450FC0" w:rsidRPr="00A15CF6" w:rsidRDefault="00450FC0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Situata e të nxënit: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Bashkëbisedim,</w:t>
            </w:r>
          </w:p>
          <w:p w14:paraId="5E1DE01C" w14:textId="77777777" w:rsidR="00450FC0" w:rsidRPr="00A15CF6" w:rsidRDefault="00450FC0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 shembujve, reflektim i nxënësve</w:t>
            </w:r>
          </w:p>
        </w:tc>
      </w:tr>
      <w:tr w:rsidR="00450FC0" w:rsidRPr="00A15CF6" w14:paraId="4A3C460F" w14:textId="77777777" w:rsidTr="009F294E">
        <w:trPr>
          <w:trHeight w:val="1178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BAAA2F7" w14:textId="77777777" w:rsidR="00450FC0" w:rsidRPr="00D21E9D" w:rsidRDefault="00450FC0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2C3A8A17" w14:textId="77777777" w:rsidR="00450FC0" w:rsidRPr="00AA0744" w:rsidRDefault="00450FC0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CD05C36" w14:textId="77777777" w:rsidR="00450FC0" w:rsidRPr="00BA6B08" w:rsidRDefault="00450FC0" w:rsidP="00C86CC5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59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Kupton rëndësinë e vaksinave dhe mbrojtjen që ato i sigurojnë organizmit nga shumë sëmundje të rrezikshme</w:t>
            </w:r>
            <w:r w:rsidR="00F34E68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406E64E0" w14:textId="77777777" w:rsidR="00450FC0" w:rsidRPr="00BA6B08" w:rsidRDefault="00450FC0" w:rsidP="00C86CC5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59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Njeh kontributin e vaksinave në zhdukjen e shumë sëmundjeve t</w:t>
            </w:r>
            <w:r w:rsidR="00F34E68">
              <w:rPr>
                <w:rFonts w:ascii="Times New Roman" w:eastAsiaTheme="minorHAnsi" w:hAnsi="Times New Roman"/>
                <w:color w:val="000000"/>
                <w:lang w:val="en-GB"/>
              </w:rPr>
              <w:t>ë rrezikshme në të gjithë botën;</w:t>
            </w:r>
          </w:p>
          <w:p w14:paraId="6620B65F" w14:textId="77777777" w:rsidR="00450FC0" w:rsidRPr="00BA6B08" w:rsidRDefault="00450FC0" w:rsidP="00C86CC5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Argumenton mbi nevojshëmrinë e vaksinimit për mbrojtjen e shëndetit</w:t>
            </w:r>
            <w:r w:rsidR="00F34E68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</w:tc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0141EA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1B4A7AF6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Vaksina, vaksinim, rëndësi e vaksinimit.</w:t>
            </w:r>
          </w:p>
          <w:p w14:paraId="135BF7C0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</w:tr>
      <w:tr w:rsidR="00450FC0" w:rsidRPr="00A15CF6" w14:paraId="324681DF" w14:textId="77777777" w:rsidTr="009F294E">
        <w:trPr>
          <w:trHeight w:val="880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5887F7" w14:textId="77777777" w:rsidR="00450FC0" w:rsidRPr="00F525B0" w:rsidRDefault="00450FC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064D264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ndihmës për nxënësit (tekst mësimor), programi, udhëzuesi i mësuesit dhe literaturë ndihmëse.</w:t>
            </w:r>
          </w:p>
        </w:tc>
        <w:tc>
          <w:tcPr>
            <w:tcW w:w="3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E820FE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Lidhja me fushat e tjera ose me temat ndërkurrikulare: </w:t>
            </w:r>
            <w:r w:rsidRPr="001E4C4B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Shkencat natyrore, Shkencat shoqërore, Gjuhën dhe komunikimin</w:t>
            </w:r>
          </w:p>
        </w:tc>
      </w:tr>
      <w:tr w:rsidR="00450FC0" w:rsidRPr="00A15CF6" w14:paraId="1D8FE6AC" w14:textId="77777777" w:rsidTr="009F294E">
        <w:trPr>
          <w:trHeight w:val="298"/>
        </w:trPr>
        <w:tc>
          <w:tcPr>
            <w:tcW w:w="9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F11A6F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450FC0" w:rsidRPr="00A15CF6" w14:paraId="55846931" w14:textId="77777777" w:rsidTr="009F294E">
        <w:trPr>
          <w:trHeight w:val="340"/>
        </w:trPr>
        <w:tc>
          <w:tcPr>
            <w:tcW w:w="9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911FDD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diskutim interaktiv 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3E8030C9" w14:textId="77777777" w:rsidR="00450FC0" w:rsidRPr="00BA6B08" w:rsidRDefault="00450FC0" w:rsidP="00C86CC5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Cilat jan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format kryesore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kujdesit prind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ror për mirëqenien e f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mij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ve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tyre?</w:t>
            </w:r>
          </w:p>
          <w:p w14:paraId="56DC5E25" w14:textId="77777777" w:rsidR="00450FC0" w:rsidRPr="00BA6B08" w:rsidRDefault="00450FC0" w:rsidP="00C86CC5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Cilat jan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format kryesore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kujdesit prind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ror për shëndetin e f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mij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ve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tyre?</w:t>
            </w:r>
          </w:p>
          <w:p w14:paraId="5F148416" w14:textId="77777777" w:rsidR="00450FC0" w:rsidRPr="00BA6B08" w:rsidRDefault="00450FC0" w:rsidP="00C86CC5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A mund të konsiderohet edhe shëndeti pjesë e mirëqenies së një individi?</w:t>
            </w:r>
          </w:p>
          <w:p w14:paraId="311C273F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fillon të shpjegojë me shembuj rreth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</w:t>
            </w:r>
          </w:p>
          <w:p w14:paraId="201A5AE7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59" w:lineRule="auto"/>
              <w:ind w:left="36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ëndësi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së së vaksinave dhe mbrojtjen që ato i sigurojnë organizmit nga shumë sëmundje të rrezikshme.</w:t>
            </w:r>
          </w:p>
          <w:p w14:paraId="2E1E208B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59" w:lineRule="auto"/>
              <w:ind w:left="36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Arsyet përse të gjithë fëmijët duhet të vaksionohen dhe të mos shmangin asnjë vaksinë që në fëmijëri.</w:t>
            </w:r>
          </w:p>
          <w:p w14:paraId="54D3390E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59" w:lineRule="auto"/>
              <w:ind w:left="36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Kontributit të vaksinave në zhdukjen e shumë sëmundjeve të rrezikshme në të gjithë botën.</w:t>
            </w:r>
          </w:p>
          <w:p w14:paraId="4640AFA4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59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Faza e tretë: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fton nxënësit në një një diskutim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interaktiv rreth njohurive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marra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 dhe lidhjen e tyre me informacion shtes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,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cilin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sit mund ta ken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nga burime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tjera,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3A9F1373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A ka arsye të tjera përveç atyre që u diskutuan në mësim, se përse 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është i rëndësishëm vaksinimi?</w:t>
            </w:r>
          </w:p>
          <w:p w14:paraId="03B9F9B3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A ka arsye për të evituar bërjen e vaksinave?</w:t>
            </w:r>
          </w:p>
          <w:p w14:paraId="10ACF01E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duhet të tregohet i kujdesshëm dhe ndihmues, për të siguruar që çdo nxënës të shprehet lirshëm mbi atë çka mendon.</w:t>
            </w:r>
          </w:p>
        </w:tc>
      </w:tr>
      <w:tr w:rsidR="00450FC0" w:rsidRPr="00A15CF6" w14:paraId="0C29CDA8" w14:textId="77777777" w:rsidTr="009F294E">
        <w:trPr>
          <w:trHeight w:val="293"/>
        </w:trPr>
        <w:tc>
          <w:tcPr>
            <w:tcW w:w="9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C462C7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Vlerësimi:</w:t>
            </w:r>
          </w:p>
          <w:p w14:paraId="300E4E4D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</w:p>
          <w:p w14:paraId="2FDEA9EE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lastRenderedPageBreak/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gjatë diskutimit (respektimi mendimit të shokëve, radhës së diskutimit, pjesëmarrja aktive në diskutim, et.)</w:t>
            </w:r>
            <w:r w:rsidR="006D2742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</w:tc>
      </w:tr>
      <w:tr w:rsidR="00450FC0" w:rsidRPr="00A15CF6" w14:paraId="76BA5748" w14:textId="77777777" w:rsidTr="009F294E">
        <w:trPr>
          <w:trHeight w:val="717"/>
        </w:trPr>
        <w:tc>
          <w:tcPr>
            <w:tcW w:w="9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C3505E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 xml:space="preserve">Detyrat dhe puna e pavarur: </w:t>
            </w:r>
          </w:p>
          <w:p w14:paraId="71EEF1AC" w14:textId="77777777" w:rsidR="00450FC0" w:rsidRPr="00A15CF6" w:rsidRDefault="00450FC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 duhet të   zbulojnë më tepër nga prindërit, libra të ndryshëm apo interneti mbi sëmundjet që janë zhdukur prej vaksinimit të vazhdueshëm të popu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llatës në botë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. Duke marrë më parë leje nga prindërit për të sjellin në klasë librin personal të vaksinave dhe të diskutojnë mbi informacionin e mbledhur me mësuesen/in, shokët dhe shoqet e klasës.</w:t>
            </w:r>
          </w:p>
        </w:tc>
      </w:tr>
    </w:tbl>
    <w:p w14:paraId="65B3527A" w14:textId="77777777" w:rsidR="00450FC0" w:rsidRDefault="00450FC0" w:rsidP="00450FC0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sectPr w:rsidR="00450FC0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235FE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12E1B9B1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FECC3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D98D32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9.35pt;height:9.35pt" o:bullet="t">
        <v:imagedata r:id="rId1" o:title="BD15059_"/>
      </v:shape>
    </w:pict>
  </w:numPicBullet>
  <w:numPicBullet w:numPicBulletId="1">
    <w:pict>
      <v:shape id="_x0000_i1088" type="#_x0000_t75" style="width:9.35pt;height:9.35pt" o:bullet="t">
        <v:imagedata r:id="rId2" o:title="BD10254_"/>
      </v:shape>
    </w:pict>
  </w:numPicBullet>
  <w:abstractNum w:abstractNumId="0">
    <w:nsid w:val="037016F7"/>
    <w:multiLevelType w:val="hybridMultilevel"/>
    <w:tmpl w:val="502E85DC"/>
    <w:lvl w:ilvl="0" w:tplc="732E1A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71499"/>
    <w:multiLevelType w:val="hybridMultilevel"/>
    <w:tmpl w:val="B80090A2"/>
    <w:lvl w:ilvl="0" w:tplc="90082EE6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39335E"/>
    <w:multiLevelType w:val="hybridMultilevel"/>
    <w:tmpl w:val="C4CEC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562E8"/>
    <w:multiLevelType w:val="hybridMultilevel"/>
    <w:tmpl w:val="C90C8B80"/>
    <w:lvl w:ilvl="0" w:tplc="1996E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16221"/>
    <w:multiLevelType w:val="hybridMultilevel"/>
    <w:tmpl w:val="97B69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AC1DD5"/>
    <w:multiLevelType w:val="hybridMultilevel"/>
    <w:tmpl w:val="53EE3680"/>
    <w:lvl w:ilvl="0" w:tplc="90082EE6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7B079D1"/>
    <w:multiLevelType w:val="hybridMultilevel"/>
    <w:tmpl w:val="47D89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F92E0F"/>
    <w:multiLevelType w:val="hybridMultilevel"/>
    <w:tmpl w:val="6B6435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A281F87"/>
    <w:multiLevelType w:val="hybridMultilevel"/>
    <w:tmpl w:val="CC58CF14"/>
    <w:lvl w:ilvl="0" w:tplc="6928B37C">
      <w:start w:val="1"/>
      <w:numFmt w:val="bullet"/>
      <w:lvlText w:val=""/>
      <w:lvlPicBulletId w:val="1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C0C2325"/>
    <w:multiLevelType w:val="hybridMultilevel"/>
    <w:tmpl w:val="13BC7DFC"/>
    <w:lvl w:ilvl="0" w:tplc="B9883D6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11"/>
  </w:num>
  <w:num w:numId="10">
    <w:abstractNumId w:val="1"/>
  </w:num>
  <w:num w:numId="11">
    <w:abstractNumId w:val="10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9370F"/>
    <w:rsid w:val="002A0EF1"/>
    <w:rsid w:val="002A63F1"/>
    <w:rsid w:val="00317318"/>
    <w:rsid w:val="00334769"/>
    <w:rsid w:val="00341670"/>
    <w:rsid w:val="00344419"/>
    <w:rsid w:val="003504EA"/>
    <w:rsid w:val="00356370"/>
    <w:rsid w:val="00365A4E"/>
    <w:rsid w:val="003C3C4B"/>
    <w:rsid w:val="003F066D"/>
    <w:rsid w:val="003F3CD1"/>
    <w:rsid w:val="00403023"/>
    <w:rsid w:val="00407E46"/>
    <w:rsid w:val="00440895"/>
    <w:rsid w:val="00450FC0"/>
    <w:rsid w:val="00487A2D"/>
    <w:rsid w:val="004935AB"/>
    <w:rsid w:val="004B17CB"/>
    <w:rsid w:val="004C5339"/>
    <w:rsid w:val="004C6CD9"/>
    <w:rsid w:val="004F14DF"/>
    <w:rsid w:val="004F4D61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5E4506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87050"/>
    <w:rsid w:val="006A007F"/>
    <w:rsid w:val="006B3B5F"/>
    <w:rsid w:val="006C1A55"/>
    <w:rsid w:val="006D254F"/>
    <w:rsid w:val="006D2742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156"/>
    <w:rsid w:val="00934BED"/>
    <w:rsid w:val="00935C44"/>
    <w:rsid w:val="00965B7E"/>
    <w:rsid w:val="00974161"/>
    <w:rsid w:val="009755ED"/>
    <w:rsid w:val="00975BE0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71727"/>
    <w:rsid w:val="00C8129F"/>
    <w:rsid w:val="00C86CC5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1D00"/>
    <w:rsid w:val="00DA2B63"/>
    <w:rsid w:val="00DA793F"/>
    <w:rsid w:val="00DB6126"/>
    <w:rsid w:val="00DD7CFE"/>
    <w:rsid w:val="00E02807"/>
    <w:rsid w:val="00E109DF"/>
    <w:rsid w:val="00E125FF"/>
    <w:rsid w:val="00E32C9B"/>
    <w:rsid w:val="00E45AC6"/>
    <w:rsid w:val="00E47266"/>
    <w:rsid w:val="00E54D56"/>
    <w:rsid w:val="00E55195"/>
    <w:rsid w:val="00E6214C"/>
    <w:rsid w:val="00E70BC4"/>
    <w:rsid w:val="00E725BF"/>
    <w:rsid w:val="00E9774E"/>
    <w:rsid w:val="00EA39AC"/>
    <w:rsid w:val="00EA719A"/>
    <w:rsid w:val="00EC4C44"/>
    <w:rsid w:val="00F1343C"/>
    <w:rsid w:val="00F148E5"/>
    <w:rsid w:val="00F15DC5"/>
    <w:rsid w:val="00F327FE"/>
    <w:rsid w:val="00F34E68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2"/>
    <o:shapelayout v:ext="edit">
      <o:idmap v:ext="edit" data="1"/>
    </o:shapelayout>
  </w:shapeDefaults>
  <w:decimalSymbol w:val="."/>
  <w:listSeparator w:val=","/>
  <w14:docId w14:val="76B88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  <w:style w:type="paragraph" w:styleId="NoSpacing">
    <w:name w:val="No Spacing"/>
    <w:link w:val="NoSpacingChar"/>
    <w:uiPriority w:val="1"/>
    <w:qFormat/>
    <w:rsid w:val="00C86CC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86CC5"/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C86CC5"/>
    <w:pPr>
      <w:spacing w:after="0" w:line="240" w:lineRule="auto"/>
    </w:pPr>
    <w:rPr>
      <w:rFonts w:eastAsiaTheme="minorEastAsia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86CC5"/>
    <w:pPr>
      <w:spacing w:line="240" w:lineRule="auto"/>
    </w:pPr>
    <w:rPr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0F895A-AF0D-EB47-9AE9-217AC72AB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2</Pages>
  <Words>431</Words>
  <Characters>2461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178</cp:revision>
  <dcterms:created xsi:type="dcterms:W3CDTF">2015-09-14T13:31:00Z</dcterms:created>
  <dcterms:modified xsi:type="dcterms:W3CDTF">2017-09-12T13:05:00Z</dcterms:modified>
</cp:coreProperties>
</file>